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0"/>
        <w:rPr>
          <w:rFonts w:hint="eastAsia" w:ascii="方正小标宋_GBK" w:hAnsi="方正小标宋_GBK" w:eastAsia="方正小标宋_GBK" w:cs="方正小标宋_GBK"/>
          <w:b/>
          <w:color w:val="000000"/>
          <w:sz w:val="44"/>
          <w:szCs w:val="44"/>
          <w:lang w:val="en-US" w:eastAsia="zh-CN"/>
        </w:rPr>
      </w:pPr>
      <w:bookmarkStart w:id="0" w:name="_Toc26244"/>
      <w:r>
        <w:rPr>
          <w:rFonts w:hint="eastAsia" w:ascii="方正小标宋_GBK" w:hAnsi="方正小标宋_GBK" w:eastAsia="方正小标宋_GBK" w:cs="方正小标宋_GBK"/>
          <w:spacing w:val="-20"/>
          <w:sz w:val="44"/>
          <w:szCs w:val="44"/>
          <w:lang w:val="en-US" w:eastAsia="zh-CN"/>
        </w:rPr>
        <w:t>米易县中医医院医疗废物物联网建设服务</w:t>
      </w:r>
    </w:p>
    <w:p>
      <w:pPr>
        <w:pageBreakBefore w:val="0"/>
        <w:kinsoku/>
        <w:wordWrap/>
        <w:overflowPunct/>
        <w:topLinePunct w:val="0"/>
        <w:autoSpaceDE/>
        <w:autoSpaceDN/>
        <w:bidi w:val="0"/>
        <w:adjustRightInd/>
        <w:snapToGrid/>
        <w:spacing w:line="240" w:lineRule="auto"/>
        <w:jc w:val="left"/>
        <w:textAlignment w:val="auto"/>
        <w:outlineLvl w:val="0"/>
        <w:rPr>
          <w:rFonts w:ascii="宋体" w:cs="宋体"/>
          <w:b/>
          <w:bCs w:val="0"/>
          <w:color w:val="000000"/>
          <w:sz w:val="30"/>
          <w:szCs w:val="30"/>
        </w:rPr>
      </w:pPr>
      <w:r>
        <w:rPr>
          <w:rFonts w:hint="eastAsia" w:ascii="宋体" w:hAnsi="宋体" w:cs="宋体"/>
          <w:b/>
          <w:bCs w:val="0"/>
          <w:color w:val="000000"/>
          <w:sz w:val="30"/>
          <w:szCs w:val="30"/>
          <w:lang w:val="en-US" w:eastAsia="zh-CN"/>
        </w:rPr>
        <w:t>一、建设项目事由</w:t>
      </w:r>
    </w:p>
    <w:p>
      <w:pPr>
        <w:pageBreakBefore w:val="0"/>
        <w:kinsoku/>
        <w:wordWrap/>
        <w:overflowPunct/>
        <w:topLinePunct w:val="0"/>
        <w:autoSpaceDE/>
        <w:autoSpaceDN/>
        <w:bidi w:val="0"/>
        <w:adjustRightInd/>
        <w:snapToGrid/>
        <w:spacing w:line="240" w:lineRule="auto"/>
        <w:ind w:right="11" w:firstLine="602" w:firstLineChars="200"/>
        <w:textAlignment w:val="auto"/>
        <w:outlineLvl w:val="9"/>
        <w:rPr>
          <w:rFonts w:hint="eastAsia" w:ascii="仿宋" w:hAnsi="仿宋" w:eastAsia="仿宋" w:cs="仿宋"/>
          <w:kern w:val="2"/>
          <w:sz w:val="30"/>
          <w:szCs w:val="30"/>
          <w:lang w:val="en-US" w:eastAsia="zh-CN"/>
        </w:rPr>
      </w:pPr>
      <w:r>
        <w:rPr>
          <w:rFonts w:hint="eastAsia" w:ascii="宋体" w:hAnsi="宋体" w:cs="宋体"/>
          <w:b/>
          <w:bCs w:val="0"/>
          <w:color w:val="000000"/>
          <w:sz w:val="30"/>
          <w:szCs w:val="30"/>
          <w:lang w:val="en-US" w:eastAsia="zh-CN"/>
        </w:rPr>
        <w:t>建设目的：</w:t>
      </w:r>
      <w:r>
        <w:rPr>
          <w:rFonts w:hint="eastAsia" w:ascii="仿宋" w:hAnsi="仿宋" w:eastAsia="仿宋" w:cs="仿宋"/>
          <w:kern w:val="2"/>
          <w:sz w:val="30"/>
          <w:szCs w:val="30"/>
          <w:lang w:val="en-US" w:eastAsia="zh-CN"/>
        </w:rPr>
        <w:t>为贯彻落实《中华人民共和国固体废物污染环境防治法》、《强化危险废物监管和利用处置能力改革实施方案》</w:t>
      </w:r>
      <w:r>
        <w:rPr>
          <w:rFonts w:hint="eastAsia" w:ascii="仿宋" w:hAnsi="仿宋" w:eastAsia="仿宋" w:cs="仿宋"/>
          <w:kern w:val="2"/>
          <w:sz w:val="24"/>
          <w:szCs w:val="24"/>
          <w:lang w:val="en-US" w:eastAsia="zh-CN"/>
        </w:rPr>
        <w:t>(国办函[2021]47号)</w:t>
      </w:r>
      <w:r>
        <w:rPr>
          <w:rFonts w:hint="eastAsia" w:ascii="仿宋" w:hAnsi="仿宋" w:eastAsia="仿宋" w:cs="仿宋"/>
          <w:kern w:val="2"/>
          <w:sz w:val="30"/>
          <w:szCs w:val="30"/>
          <w:lang w:val="en-US" w:eastAsia="zh-CN"/>
        </w:rPr>
        <w:t>、《四川省生态环境厅办公室关于开展危险废物全过程物联网监管试点工作的通知》</w:t>
      </w:r>
      <w:r>
        <w:rPr>
          <w:rFonts w:hint="eastAsia" w:ascii="仿宋" w:hAnsi="仿宋" w:eastAsia="仿宋" w:cs="仿宋"/>
          <w:kern w:val="2"/>
          <w:sz w:val="24"/>
          <w:szCs w:val="24"/>
          <w:lang w:val="en-US" w:eastAsia="zh-CN"/>
        </w:rPr>
        <w:t>(川环办函[2022]186号)</w:t>
      </w:r>
      <w:r>
        <w:rPr>
          <w:rFonts w:hint="eastAsia" w:ascii="仿宋" w:hAnsi="仿宋" w:eastAsia="仿宋" w:cs="仿宋"/>
          <w:kern w:val="2"/>
          <w:sz w:val="30"/>
          <w:szCs w:val="30"/>
          <w:lang w:val="en-US" w:eastAsia="zh-CN"/>
        </w:rPr>
        <w:t>、《四川省生态环境厅办公室关于全面开展全省危险废物全过程信息化管理的通知》</w:t>
      </w:r>
      <w:r>
        <w:rPr>
          <w:rFonts w:hint="eastAsia" w:ascii="仿宋" w:hAnsi="仿宋" w:eastAsia="仿宋" w:cs="仿宋"/>
          <w:kern w:val="2"/>
          <w:sz w:val="24"/>
          <w:szCs w:val="24"/>
          <w:lang w:val="en-US" w:eastAsia="zh-CN"/>
        </w:rPr>
        <w:t>(川环办函[2022]490号)</w:t>
      </w:r>
      <w:r>
        <w:rPr>
          <w:rFonts w:hint="eastAsia" w:ascii="仿宋" w:hAnsi="仿宋" w:eastAsia="仿宋" w:cs="仿宋"/>
          <w:kern w:val="2"/>
          <w:sz w:val="30"/>
          <w:szCs w:val="30"/>
          <w:lang w:val="en-US" w:eastAsia="zh-CN"/>
        </w:rPr>
        <w:t>、《攀枝花市生态环境局办公室关于印发&lt;攀枝花市2023年危险废物全过程物联网建设工作方案&gt;的通知》</w:t>
      </w:r>
      <w:r>
        <w:rPr>
          <w:rFonts w:hint="eastAsia" w:ascii="仿宋" w:hAnsi="仿宋" w:eastAsia="仿宋" w:cs="仿宋"/>
          <w:kern w:val="2"/>
          <w:sz w:val="24"/>
          <w:szCs w:val="24"/>
          <w:lang w:val="en-US" w:eastAsia="zh-CN"/>
        </w:rPr>
        <w:t>（攀环办[2023]21号）</w:t>
      </w:r>
      <w:r>
        <w:rPr>
          <w:rFonts w:hint="eastAsia" w:ascii="仿宋" w:hAnsi="仿宋" w:eastAsia="仿宋" w:cs="仿宋"/>
          <w:kern w:val="2"/>
          <w:sz w:val="30"/>
          <w:szCs w:val="30"/>
          <w:lang w:val="en-US" w:eastAsia="zh-CN"/>
        </w:rPr>
        <w:t>等有关要求，进一步强化危险废物污染防治，加强危险废物产生、收集、贮存、转移、处置/利用各环节的规范化管理，提升危险废物管理信息化水平，实现危险废物管理单位、产生单位、经营单位、集中收集单位对危险废物管理的规范化、信息化、精准化、溯源化，完成危险废物全流程管理。</w:t>
      </w:r>
    </w:p>
    <w:p>
      <w:pPr>
        <w:pageBreakBefore w:val="0"/>
        <w:kinsoku/>
        <w:wordWrap/>
        <w:overflowPunct/>
        <w:topLinePunct w:val="0"/>
        <w:autoSpaceDE/>
        <w:autoSpaceDN/>
        <w:bidi w:val="0"/>
        <w:adjustRightInd/>
        <w:snapToGrid/>
        <w:spacing w:line="240" w:lineRule="auto"/>
        <w:ind w:firstLine="602" w:firstLineChars="200"/>
        <w:jc w:val="left"/>
        <w:textAlignment w:val="auto"/>
        <w:outlineLvl w:val="0"/>
        <w:rPr>
          <w:rFonts w:hint="eastAsia" w:ascii="仿宋" w:hAnsi="仿宋" w:eastAsia="仿宋" w:cs="仿宋"/>
          <w:sz w:val="30"/>
          <w:szCs w:val="30"/>
          <w:lang w:val="en-US" w:eastAsia="zh-CN"/>
        </w:rPr>
      </w:pPr>
      <w:r>
        <w:rPr>
          <w:rFonts w:hint="eastAsia" w:ascii="宋体" w:hAnsi="宋体" w:cs="宋体"/>
          <w:b/>
          <w:bCs w:val="0"/>
          <w:color w:val="000000"/>
          <w:sz w:val="30"/>
          <w:szCs w:val="30"/>
          <w:lang w:val="en-US" w:eastAsia="zh-CN"/>
        </w:rPr>
        <w:t>建设内容：</w:t>
      </w:r>
      <w:r>
        <w:rPr>
          <w:rFonts w:hint="eastAsia" w:ascii="仿宋" w:hAnsi="仿宋" w:eastAsia="仿宋" w:cs="仿宋"/>
          <w:kern w:val="2"/>
          <w:sz w:val="30"/>
          <w:szCs w:val="30"/>
          <w:lang w:val="en-US" w:eastAsia="zh-CN"/>
        </w:rPr>
        <w:t>根据《攀枝花市生态环境局办公室关于印发&lt;攀枝花市2023年危险废物全过程物联网建设工作方案&gt;的通知》</w:t>
      </w:r>
      <w:r>
        <w:rPr>
          <w:rFonts w:hint="eastAsia" w:ascii="仿宋" w:hAnsi="仿宋" w:eastAsia="仿宋" w:cs="仿宋"/>
          <w:kern w:val="2"/>
          <w:sz w:val="24"/>
          <w:szCs w:val="24"/>
          <w:lang w:val="en-US" w:eastAsia="zh-CN"/>
        </w:rPr>
        <w:t>（攀环办[2023]21号）</w:t>
      </w:r>
      <w:r>
        <w:rPr>
          <w:rFonts w:hint="eastAsia" w:ascii="仿宋" w:hAnsi="仿宋" w:eastAsia="仿宋" w:cs="仿宋"/>
          <w:kern w:val="2"/>
          <w:sz w:val="30"/>
          <w:szCs w:val="30"/>
          <w:lang w:val="en-US" w:eastAsia="zh-CN"/>
        </w:rPr>
        <w:t>内容和《四川省危险废物物联网监管系统建设技术要求（试行）》，我院属危险废物产生单位，管理类别属简化管理单位，需对危险废物进行数字化标签建设。</w:t>
      </w:r>
      <w:r>
        <w:rPr>
          <w:rFonts w:hint="eastAsia" w:ascii="仿宋" w:hAnsi="仿宋" w:eastAsia="仿宋" w:cs="仿宋"/>
          <w:b/>
          <w:bCs/>
          <w:kern w:val="2"/>
          <w:sz w:val="30"/>
          <w:szCs w:val="30"/>
          <w:lang w:val="en-US" w:eastAsia="zh-CN"/>
        </w:rPr>
        <w:t>数字化标签建设内容包含</w:t>
      </w:r>
      <w:r>
        <w:rPr>
          <w:rFonts w:hint="eastAsia" w:ascii="仿宋" w:hAnsi="仿宋" w:eastAsia="仿宋" w:cs="仿宋"/>
          <w:kern w:val="2"/>
          <w:sz w:val="30"/>
          <w:szCs w:val="30"/>
          <w:lang w:val="en-US" w:eastAsia="zh-CN"/>
        </w:rPr>
        <w:t>：建设危险废物物联网系统，对危险废物收集入库、贮存、转移等流程通过物联网系统实行数据信息化和数字化标签打印，系统和四川省固体废物管理平台（“无废四川”）对接上传。</w:t>
      </w:r>
    </w:p>
    <w:p>
      <w:pPr>
        <w:spacing w:line="360" w:lineRule="auto"/>
        <w:rPr>
          <w:rFonts w:hint="eastAsia" w:ascii="仿宋" w:hAnsi="仿宋" w:eastAsia="宋体" w:cs="仿宋"/>
          <w:sz w:val="30"/>
          <w:szCs w:val="30"/>
          <w:lang w:eastAsia="zh-CN"/>
        </w:rPr>
      </w:pPr>
      <w:r>
        <w:rPr>
          <w:rFonts w:hint="eastAsia" w:ascii="宋体" w:hAnsi="宋体" w:cs="宋体"/>
          <w:b/>
          <w:sz w:val="30"/>
          <w:szCs w:val="30"/>
        </w:rPr>
        <w:t>二、项目</w:t>
      </w:r>
      <w:r>
        <w:rPr>
          <w:rFonts w:hint="eastAsia" w:ascii="宋体" w:hAnsi="宋体" w:cs="宋体"/>
          <w:b/>
          <w:sz w:val="30"/>
          <w:szCs w:val="30"/>
          <w:lang w:val="en-US" w:eastAsia="zh-CN"/>
        </w:rPr>
        <w:t>技术要求</w:t>
      </w:r>
    </w:p>
    <w:p>
      <w:pPr>
        <w:spacing w:line="360" w:lineRule="auto"/>
        <w:ind w:firstLine="602" w:firstLineChars="200"/>
        <w:outlineLvl w:val="1"/>
        <w:rPr>
          <w:rFonts w:hint="eastAsia" w:ascii="宋体" w:hAnsi="宋体" w:eastAsia="宋体" w:cs="宋体"/>
          <w:b/>
          <w:sz w:val="30"/>
          <w:szCs w:val="30"/>
        </w:rPr>
      </w:pPr>
      <w:bookmarkStart w:id="1" w:name="_Toc24310"/>
      <w:bookmarkStart w:id="2" w:name="_Toc217446094"/>
      <w:r>
        <w:rPr>
          <w:rFonts w:hint="eastAsia" w:ascii="宋体" w:hAnsi="宋体" w:eastAsia="宋体" w:cs="宋体"/>
          <w:b/>
          <w:bCs/>
          <w:sz w:val="30"/>
          <w:szCs w:val="30"/>
          <w:lang w:val="en-US" w:eastAsia="zh-CN"/>
        </w:rPr>
        <w:t>1</w:t>
      </w:r>
      <w:r>
        <w:rPr>
          <w:rFonts w:hint="eastAsia" w:ascii="宋体" w:hAnsi="宋体" w:eastAsia="宋体" w:cs="宋体"/>
          <w:b/>
          <w:bCs/>
          <w:sz w:val="30"/>
          <w:szCs w:val="30"/>
        </w:rPr>
        <w:t>、</w:t>
      </w:r>
      <w:r>
        <w:rPr>
          <w:rFonts w:hint="eastAsia" w:ascii="宋体" w:hAnsi="宋体" w:eastAsia="宋体" w:cs="宋体"/>
          <w:b/>
          <w:sz w:val="30"/>
          <w:szCs w:val="30"/>
        </w:rPr>
        <w:t>项目概述</w:t>
      </w:r>
      <w:bookmarkEnd w:id="1"/>
      <w:bookmarkEnd w:id="2"/>
    </w:p>
    <w:p>
      <w:pPr>
        <w:pStyle w:val="6"/>
        <w:spacing w:line="360" w:lineRule="auto"/>
        <w:ind w:left="0" w:leftChars="0" w:firstLine="600" w:firstLineChars="200"/>
        <w:rPr>
          <w:rFonts w:ascii="仿宋" w:hAnsi="仿宋" w:eastAsia="仿宋" w:cs="仿宋"/>
          <w:bCs/>
          <w:sz w:val="30"/>
          <w:szCs w:val="30"/>
        </w:rPr>
      </w:pPr>
      <w:r>
        <w:rPr>
          <w:rFonts w:hint="eastAsia" w:ascii="仿宋" w:hAnsi="仿宋" w:eastAsia="仿宋" w:cs="仿宋"/>
          <w:sz w:val="30"/>
          <w:szCs w:val="30"/>
        </w:rPr>
        <w:t>本项目为</w:t>
      </w:r>
      <w:r>
        <w:rPr>
          <w:rFonts w:hint="eastAsia" w:ascii="仿宋" w:hAnsi="仿宋" w:eastAsia="仿宋" w:cs="仿宋"/>
          <w:sz w:val="30"/>
          <w:szCs w:val="30"/>
          <w:lang w:val="en-US" w:eastAsia="zh-CN"/>
        </w:rPr>
        <w:t>米易县中医医院医疗废物物联网建设服务采购项目需求</w:t>
      </w:r>
      <w:r>
        <w:rPr>
          <w:rFonts w:hint="eastAsia" w:ascii="仿宋" w:hAnsi="仿宋" w:eastAsia="仿宋" w:cs="仿宋"/>
          <w:sz w:val="30"/>
          <w:szCs w:val="30"/>
        </w:rPr>
        <w:t>，包含设备的运</w:t>
      </w:r>
      <w:r>
        <w:rPr>
          <w:rFonts w:hint="eastAsia" w:ascii="仿宋" w:hAnsi="仿宋" w:eastAsia="仿宋" w:cs="仿宋"/>
          <w:sz w:val="30"/>
          <w:szCs w:val="30"/>
          <w:lang w:val="en-US" w:eastAsia="zh-CN"/>
        </w:rPr>
        <w:t>送</w:t>
      </w:r>
      <w:r>
        <w:rPr>
          <w:rFonts w:hint="eastAsia" w:ascii="仿宋" w:hAnsi="仿宋" w:eastAsia="仿宋" w:cs="仿宋"/>
          <w:sz w:val="30"/>
          <w:szCs w:val="30"/>
        </w:rPr>
        <w:t>、</w:t>
      </w:r>
      <w:r>
        <w:rPr>
          <w:rFonts w:hint="eastAsia" w:ascii="仿宋" w:hAnsi="仿宋" w:eastAsia="仿宋" w:cs="仿宋"/>
          <w:sz w:val="30"/>
          <w:szCs w:val="30"/>
          <w:lang w:val="en-US" w:eastAsia="zh-CN"/>
        </w:rPr>
        <w:t>安装</w:t>
      </w:r>
      <w:r>
        <w:rPr>
          <w:rFonts w:hint="eastAsia" w:ascii="仿宋" w:hAnsi="仿宋" w:eastAsia="仿宋" w:cs="仿宋"/>
          <w:sz w:val="30"/>
          <w:szCs w:val="30"/>
        </w:rPr>
        <w:t>、</w:t>
      </w:r>
      <w:r>
        <w:rPr>
          <w:rFonts w:hint="eastAsia" w:ascii="仿宋" w:hAnsi="仿宋" w:eastAsia="仿宋" w:cs="仿宋"/>
          <w:sz w:val="30"/>
          <w:szCs w:val="30"/>
          <w:lang w:val="en-US" w:eastAsia="zh-CN"/>
        </w:rPr>
        <w:t>调试，</w:t>
      </w:r>
      <w:r>
        <w:rPr>
          <w:rFonts w:hint="eastAsia" w:ascii="仿宋" w:hAnsi="仿宋" w:eastAsia="仿宋" w:cs="仿宋"/>
          <w:sz w:val="30"/>
          <w:szCs w:val="30"/>
        </w:rPr>
        <w:t>软件的安装与培训等。</w:t>
      </w:r>
    </w:p>
    <w:p>
      <w:pPr>
        <w:pStyle w:val="6"/>
        <w:spacing w:line="360" w:lineRule="auto"/>
        <w:ind w:left="0" w:leftChars="0" w:firstLine="602" w:firstLineChars="200"/>
        <w:rPr>
          <w:rFonts w:hint="eastAsia" w:ascii="仿宋" w:hAnsi="仿宋" w:eastAsia="仿宋" w:cs="仿宋"/>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w:t>
      </w:r>
      <w:r>
        <w:rPr>
          <w:rFonts w:hint="eastAsia" w:ascii="宋体" w:hAnsi="宋体" w:cs="宋体"/>
          <w:b/>
          <w:bCs/>
          <w:sz w:val="30"/>
          <w:szCs w:val="30"/>
          <w:lang w:val="en-US" w:eastAsia="zh-CN"/>
        </w:rPr>
        <w:t>设备</w:t>
      </w:r>
      <w:r>
        <w:rPr>
          <w:rFonts w:hint="eastAsia" w:ascii="宋体" w:hAnsi="宋体" w:eastAsia="宋体" w:cs="宋体"/>
          <w:b/>
          <w:bCs/>
          <w:sz w:val="30"/>
          <w:szCs w:val="30"/>
          <w:lang w:val="en-US" w:eastAsia="zh-CN"/>
        </w:rPr>
        <w:t>清单</w:t>
      </w:r>
    </w:p>
    <w:tbl>
      <w:tblPr>
        <w:tblStyle w:val="9"/>
        <w:tblpPr w:leftFromText="180" w:rightFromText="180" w:vertAnchor="page" w:horzAnchor="page" w:tblpX="1242" w:tblpY="260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204"/>
        <w:gridCol w:w="1186"/>
        <w:gridCol w:w="13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0" w:type="dxa"/>
            <w:vAlign w:val="center"/>
          </w:tcPr>
          <w:p>
            <w:pPr>
              <w:jc w:val="center"/>
              <w:rPr>
                <w:rFonts w:hint="default"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序号</w:t>
            </w:r>
          </w:p>
        </w:tc>
        <w:tc>
          <w:tcPr>
            <w:tcW w:w="3204" w:type="dxa"/>
            <w:vAlign w:val="center"/>
          </w:tcPr>
          <w:p>
            <w:pPr>
              <w:jc w:val="center"/>
              <w:rPr>
                <w:rFonts w:hint="eastAsia" w:ascii="新宋体" w:hAnsi="新宋体" w:eastAsia="新宋体" w:cs="新宋体"/>
                <w:b/>
                <w:bCs w:val="0"/>
                <w:snapToGrid w:val="0"/>
                <w:color w:val="000000"/>
                <w:sz w:val="24"/>
                <w:szCs w:val="24"/>
                <w:lang w:val="en-US" w:eastAsia="zh-CN" w:bidi="zh-CN"/>
              </w:rPr>
            </w:pPr>
            <w:r>
              <w:rPr>
                <w:rFonts w:hint="eastAsia" w:ascii="新宋体" w:hAnsi="新宋体" w:eastAsia="新宋体" w:cs="新宋体"/>
                <w:b/>
                <w:bCs w:val="0"/>
                <w:sz w:val="24"/>
                <w:szCs w:val="24"/>
                <w:lang w:bidi="zh-CN"/>
              </w:rPr>
              <w:t>产品名称</w:t>
            </w:r>
          </w:p>
        </w:tc>
        <w:tc>
          <w:tcPr>
            <w:tcW w:w="1186" w:type="dxa"/>
            <w:vAlign w:val="center"/>
          </w:tcPr>
          <w:p>
            <w:pPr>
              <w:jc w:val="center"/>
              <w:rPr>
                <w:rFonts w:hint="eastAsia" w:ascii="新宋体" w:hAnsi="新宋体" w:eastAsia="新宋体" w:cs="新宋体"/>
                <w:b/>
                <w:bCs w:val="0"/>
                <w:snapToGrid w:val="0"/>
                <w:color w:val="000000"/>
                <w:sz w:val="24"/>
                <w:szCs w:val="24"/>
                <w:lang w:val="en-US" w:eastAsia="zh-CN" w:bidi="zh-CN"/>
              </w:rPr>
            </w:pPr>
            <w:r>
              <w:rPr>
                <w:rFonts w:hint="eastAsia" w:ascii="新宋体" w:hAnsi="新宋体" w:eastAsia="新宋体" w:cs="新宋体"/>
                <w:b/>
                <w:bCs w:val="0"/>
                <w:sz w:val="24"/>
                <w:szCs w:val="24"/>
                <w:lang w:bidi="zh-CN"/>
              </w:rPr>
              <w:t>数量</w:t>
            </w:r>
          </w:p>
        </w:tc>
        <w:tc>
          <w:tcPr>
            <w:tcW w:w="1360" w:type="dxa"/>
            <w:vAlign w:val="center"/>
          </w:tcPr>
          <w:p>
            <w:pPr>
              <w:jc w:val="center"/>
              <w:rPr>
                <w:rFonts w:hint="default"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单位</w:t>
            </w:r>
          </w:p>
        </w:tc>
        <w:tc>
          <w:tcPr>
            <w:tcW w:w="3060" w:type="dxa"/>
            <w:vAlign w:val="center"/>
          </w:tcPr>
          <w:p>
            <w:pPr>
              <w:jc w:val="center"/>
              <w:rPr>
                <w:rFonts w:hint="default"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3204" w:type="dxa"/>
            <w:vAlign w:val="center"/>
          </w:tcPr>
          <w:p>
            <w:pPr>
              <w:pStyle w:val="18"/>
              <w:jc w:val="left"/>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rPr>
              <w:t>危险废物</w:t>
            </w:r>
            <w:r>
              <w:rPr>
                <w:rFonts w:hint="eastAsia" w:ascii="新宋体" w:hAnsi="新宋体" w:eastAsia="新宋体" w:cs="新宋体"/>
                <w:b w:val="0"/>
                <w:bCs/>
                <w:sz w:val="24"/>
                <w:szCs w:val="24"/>
                <w:lang w:val="en-US" w:eastAsia="zh-CN"/>
              </w:rPr>
              <w:t>信息化管理系统</w:t>
            </w:r>
          </w:p>
        </w:tc>
        <w:tc>
          <w:tcPr>
            <w:tcW w:w="1186"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outlineLvl w:val="9"/>
              <w:rPr>
                <w:rFonts w:hint="eastAsia" w:ascii="新宋体" w:hAnsi="新宋体" w:eastAsia="新宋体" w:cs="新宋体"/>
                <w:b w:val="0"/>
                <w:bCs/>
                <w:sz w:val="24"/>
                <w:szCs w:val="24"/>
                <w:lang w:val="en-US"/>
              </w:rPr>
            </w:pPr>
            <w:r>
              <w:rPr>
                <w:rFonts w:hint="eastAsia" w:ascii="新宋体" w:hAnsi="新宋体" w:eastAsia="新宋体" w:cs="新宋体"/>
                <w:b w:val="0"/>
                <w:bCs/>
                <w:sz w:val="24"/>
                <w:szCs w:val="24"/>
                <w:lang w:val="en-US"/>
              </w:rPr>
              <w:t>1</w:t>
            </w:r>
          </w:p>
        </w:tc>
        <w:tc>
          <w:tcPr>
            <w:tcW w:w="136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套</w:t>
            </w:r>
          </w:p>
        </w:tc>
        <w:tc>
          <w:tcPr>
            <w:tcW w:w="3060" w:type="dxa"/>
            <w:vMerge w:val="restart"/>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详见功能说明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3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w:t>
            </w:r>
          </w:p>
        </w:tc>
        <w:tc>
          <w:tcPr>
            <w:tcW w:w="3204" w:type="dxa"/>
            <w:vAlign w:val="center"/>
          </w:tcPr>
          <w:p>
            <w:pPr>
              <w:pStyle w:val="18"/>
              <w:jc w:val="left"/>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智能移动终端机</w:t>
            </w:r>
          </w:p>
        </w:tc>
        <w:tc>
          <w:tcPr>
            <w:tcW w:w="1186"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136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台</w:t>
            </w:r>
          </w:p>
        </w:tc>
        <w:tc>
          <w:tcPr>
            <w:tcW w:w="3060" w:type="dxa"/>
            <w:vMerge w:val="continue"/>
            <w:vAlign w:val="center"/>
          </w:tcPr>
          <w:p>
            <w:pPr>
              <w:pStyle w:val="18"/>
              <w:jc w:val="center"/>
              <w:outlineLvl w:val="9"/>
              <w:rPr>
                <w:rFonts w:hint="default" w:ascii="新宋体" w:hAnsi="新宋体" w:eastAsia="新宋体" w:cs="新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w:t>
            </w:r>
          </w:p>
        </w:tc>
        <w:tc>
          <w:tcPr>
            <w:tcW w:w="3204" w:type="dxa"/>
            <w:vAlign w:val="center"/>
          </w:tcPr>
          <w:p>
            <w:pPr>
              <w:pStyle w:val="18"/>
              <w:jc w:val="left"/>
              <w:outlineLvl w:val="9"/>
              <w:rPr>
                <w:rFonts w:hint="eastAsia" w:ascii="新宋体" w:hAnsi="新宋体" w:eastAsia="新宋体" w:cs="新宋体"/>
                <w:b w:val="0"/>
                <w:bCs/>
                <w:sz w:val="24"/>
                <w:szCs w:val="24"/>
                <w:lang w:val="en-US"/>
              </w:rPr>
            </w:pPr>
            <w:r>
              <w:rPr>
                <w:rFonts w:hint="eastAsia" w:ascii="新宋体" w:hAnsi="新宋体" w:eastAsia="新宋体" w:cs="新宋体"/>
                <w:b w:val="0"/>
                <w:bCs/>
                <w:sz w:val="24"/>
                <w:szCs w:val="24"/>
                <w:lang w:val="en-US" w:eastAsia="zh-CN"/>
              </w:rPr>
              <w:t>条码</w:t>
            </w:r>
            <w:r>
              <w:rPr>
                <w:rFonts w:hint="eastAsia" w:ascii="新宋体" w:hAnsi="新宋体" w:eastAsia="新宋体" w:cs="新宋体"/>
                <w:b w:val="0"/>
                <w:bCs/>
                <w:sz w:val="24"/>
                <w:szCs w:val="24"/>
                <w:lang w:val="en-US"/>
              </w:rPr>
              <w:t>打印机</w:t>
            </w:r>
          </w:p>
        </w:tc>
        <w:tc>
          <w:tcPr>
            <w:tcW w:w="1186"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136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台</w:t>
            </w:r>
          </w:p>
        </w:tc>
        <w:tc>
          <w:tcPr>
            <w:tcW w:w="3060" w:type="dxa"/>
            <w:vMerge w:val="continue"/>
            <w:vAlign w:val="center"/>
          </w:tcPr>
          <w:p>
            <w:pPr>
              <w:pStyle w:val="18"/>
              <w:jc w:val="center"/>
              <w:outlineLvl w:val="9"/>
              <w:rPr>
                <w:rFonts w:hint="default" w:ascii="新宋体" w:hAnsi="新宋体" w:eastAsia="新宋体" w:cs="新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30" w:type="dxa"/>
            <w:vAlign w:val="center"/>
          </w:tcPr>
          <w:p>
            <w:pPr>
              <w:pStyle w:val="18"/>
              <w:jc w:val="center"/>
              <w:outlineLvl w:val="9"/>
              <w:rPr>
                <w:rFonts w:hint="default" w:ascii="新宋体" w:hAnsi="新宋体" w:eastAsia="新宋体"/>
                <w:b w:val="0"/>
                <w:bCs w:val="0"/>
                <w:sz w:val="24"/>
                <w:szCs w:val="24"/>
                <w:lang w:val="en-US" w:eastAsia="zh-CN"/>
              </w:rPr>
            </w:pPr>
            <w:r>
              <w:rPr>
                <w:rFonts w:hint="eastAsia" w:ascii="新宋体" w:hAnsi="新宋体" w:eastAsia="新宋体"/>
                <w:b w:val="0"/>
                <w:bCs w:val="0"/>
                <w:sz w:val="24"/>
                <w:szCs w:val="24"/>
                <w:lang w:val="en-US" w:eastAsia="zh-CN"/>
              </w:rPr>
              <w:t>4</w:t>
            </w:r>
          </w:p>
        </w:tc>
        <w:tc>
          <w:tcPr>
            <w:tcW w:w="3204" w:type="dxa"/>
            <w:vAlign w:val="center"/>
          </w:tcPr>
          <w:p>
            <w:pPr>
              <w:pStyle w:val="18"/>
              <w:jc w:val="left"/>
              <w:outlineLvl w:val="9"/>
              <w:rPr>
                <w:rFonts w:hint="default" w:ascii="新宋体" w:hAnsi="新宋体" w:eastAsia="新宋体"/>
                <w:b w:val="0"/>
                <w:bCs w:val="0"/>
                <w:sz w:val="24"/>
                <w:szCs w:val="24"/>
                <w:lang w:val="en-US" w:eastAsia="zh-CN"/>
              </w:rPr>
            </w:pPr>
            <w:r>
              <w:rPr>
                <w:rFonts w:hint="eastAsia" w:ascii="新宋体" w:hAnsi="新宋体" w:eastAsia="新宋体"/>
                <w:b w:val="0"/>
                <w:bCs w:val="0"/>
                <w:sz w:val="24"/>
                <w:szCs w:val="24"/>
                <w:lang w:val="en-US" w:eastAsia="zh-CN"/>
              </w:rPr>
              <w:t>平台对接</w:t>
            </w:r>
          </w:p>
        </w:tc>
        <w:tc>
          <w:tcPr>
            <w:tcW w:w="1186" w:type="dxa"/>
            <w:vAlign w:val="center"/>
          </w:tcPr>
          <w:p>
            <w:pPr>
              <w:pStyle w:val="18"/>
              <w:jc w:val="center"/>
              <w:outlineLvl w:val="9"/>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w:t>
            </w:r>
          </w:p>
        </w:tc>
        <w:tc>
          <w:tcPr>
            <w:tcW w:w="1360" w:type="dxa"/>
            <w:vAlign w:val="center"/>
          </w:tcPr>
          <w:p>
            <w:pPr>
              <w:pStyle w:val="18"/>
              <w:jc w:val="center"/>
              <w:outlineLvl w:val="9"/>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sz w:val="24"/>
                <w:szCs w:val="24"/>
                <w:lang w:val="en-US" w:eastAsia="zh-CN"/>
              </w:rPr>
              <w:t>套</w:t>
            </w:r>
          </w:p>
        </w:tc>
        <w:tc>
          <w:tcPr>
            <w:tcW w:w="3060" w:type="dxa"/>
            <w:vMerge w:val="continue"/>
            <w:vAlign w:val="center"/>
          </w:tcPr>
          <w:p>
            <w:pPr>
              <w:pStyle w:val="18"/>
              <w:jc w:val="center"/>
              <w:outlineLvl w:val="9"/>
              <w:rPr>
                <w:rFonts w:hint="default" w:ascii="新宋体" w:hAnsi="新宋体" w:eastAsia="新宋体" w:cs="新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3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w:t>
            </w:r>
          </w:p>
        </w:tc>
        <w:tc>
          <w:tcPr>
            <w:tcW w:w="3204" w:type="dxa"/>
            <w:vAlign w:val="center"/>
          </w:tcPr>
          <w:p>
            <w:pPr>
              <w:pStyle w:val="18"/>
              <w:jc w:val="left"/>
              <w:outlineLvl w:val="9"/>
              <w:rPr>
                <w:rFonts w:hint="eastAsia" w:ascii="新宋体" w:hAnsi="新宋体" w:eastAsia="新宋体" w:cs="新宋体"/>
                <w:b w:val="0"/>
                <w:bCs/>
                <w:sz w:val="24"/>
                <w:szCs w:val="24"/>
                <w:lang w:val="en-US"/>
              </w:rPr>
            </w:pPr>
            <w:r>
              <w:rPr>
                <w:rFonts w:hint="eastAsia" w:ascii="新宋体" w:hAnsi="新宋体" w:eastAsia="新宋体" w:cs="新宋体"/>
                <w:b w:val="0"/>
                <w:bCs/>
                <w:sz w:val="24"/>
                <w:szCs w:val="24"/>
                <w:lang w:val="en-US"/>
              </w:rPr>
              <w:t>危险废物</w:t>
            </w:r>
            <w:r>
              <w:rPr>
                <w:rFonts w:hint="eastAsia" w:ascii="新宋体" w:hAnsi="新宋体" w:eastAsia="新宋体" w:cs="新宋体"/>
                <w:b w:val="0"/>
                <w:bCs/>
                <w:sz w:val="24"/>
                <w:szCs w:val="24"/>
                <w:lang w:val="en-US" w:eastAsia="zh-CN"/>
              </w:rPr>
              <w:t>条码</w:t>
            </w:r>
            <w:r>
              <w:rPr>
                <w:rFonts w:hint="eastAsia" w:ascii="新宋体" w:hAnsi="新宋体" w:eastAsia="新宋体" w:cs="新宋体"/>
                <w:b w:val="0"/>
                <w:bCs/>
                <w:sz w:val="24"/>
                <w:szCs w:val="24"/>
                <w:lang w:val="en-US"/>
              </w:rPr>
              <w:t>标签</w:t>
            </w:r>
          </w:p>
        </w:tc>
        <w:tc>
          <w:tcPr>
            <w:tcW w:w="1186"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500</w:t>
            </w:r>
          </w:p>
        </w:tc>
        <w:tc>
          <w:tcPr>
            <w:tcW w:w="136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张</w:t>
            </w:r>
          </w:p>
        </w:tc>
        <w:tc>
          <w:tcPr>
            <w:tcW w:w="3060" w:type="dxa"/>
            <w:vMerge w:val="continue"/>
            <w:vAlign w:val="center"/>
          </w:tcPr>
          <w:p>
            <w:pPr>
              <w:pStyle w:val="18"/>
              <w:jc w:val="center"/>
              <w:outlineLvl w:val="9"/>
              <w:rPr>
                <w:rFonts w:hint="default" w:ascii="新宋体" w:hAnsi="新宋体" w:eastAsia="新宋体" w:cs="新宋体"/>
                <w:b w:val="0"/>
                <w:bCs/>
                <w:sz w:val="24"/>
                <w:szCs w:val="24"/>
                <w:lang w:val="en-US" w:eastAsia="zh-CN"/>
              </w:rPr>
            </w:pPr>
          </w:p>
        </w:tc>
      </w:tr>
    </w:tbl>
    <w:p>
      <w:pPr>
        <w:numPr>
          <w:ilvl w:val="0"/>
          <w:numId w:val="0"/>
        </w:numPr>
        <w:spacing w:line="360" w:lineRule="auto"/>
        <w:outlineLvl w:val="1"/>
        <w:rPr>
          <w:rFonts w:hint="eastAsia" w:ascii="仿宋" w:hAnsi="仿宋" w:eastAsia="仿宋" w:cs="仿宋"/>
          <w:b/>
          <w:bCs/>
          <w:sz w:val="32"/>
          <w:szCs w:val="32"/>
          <w:lang w:val="en-US" w:eastAsia="zh-CN"/>
        </w:rPr>
      </w:pPr>
    </w:p>
    <w:p>
      <w:pPr>
        <w:pStyle w:val="6"/>
        <w:spacing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技术要求</w:t>
      </w:r>
    </w:p>
    <w:tbl>
      <w:tblPr>
        <w:tblStyle w:val="8"/>
        <w:tblpPr w:leftFromText="180" w:rightFromText="180" w:vertAnchor="text" w:horzAnchor="page" w:tblpX="1017" w:tblpY="855"/>
        <w:tblOverlap w:val="never"/>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7"/>
        <w:gridCol w:w="1723"/>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937" w:type="dxa"/>
            <w:tcBorders>
              <w:left w:val="nil"/>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产品名称</w:t>
            </w:r>
          </w:p>
        </w:tc>
        <w:tc>
          <w:tcPr>
            <w:tcW w:w="1723" w:type="dxa"/>
            <w:tcBorders>
              <w:left w:val="nil"/>
            </w:tcBorders>
            <w:vAlign w:val="center"/>
          </w:tcPr>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功能要求</w:t>
            </w:r>
          </w:p>
        </w:tc>
        <w:tc>
          <w:tcPr>
            <w:tcW w:w="6690" w:type="dxa"/>
            <w:tcBorders>
              <w:left w:val="nil"/>
            </w:tcBorders>
            <w:vAlign w:val="center"/>
          </w:tcPr>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0" w:type="dxa"/>
            <w:vMerge w:val="restart"/>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937" w:type="dxa"/>
            <w:vMerge w:val="restart"/>
            <w:tcBorders>
              <w:left w:val="nil"/>
            </w:tcBorders>
            <w:vAlign w:val="center"/>
          </w:tcPr>
          <w:p>
            <w:pPr>
              <w:jc w:val="both"/>
              <w:rPr>
                <w:rFonts w:hint="eastAsia" w:ascii="新宋体" w:hAnsi="新宋体" w:eastAsia="新宋体" w:cs="新宋体"/>
                <w:sz w:val="24"/>
                <w:szCs w:val="24"/>
              </w:rPr>
            </w:pPr>
            <w:r>
              <w:rPr>
                <w:rFonts w:hint="eastAsia" w:ascii="新宋体" w:hAnsi="新宋体" w:eastAsia="新宋体" w:cs="新宋体"/>
                <w:bCs/>
                <w:sz w:val="24"/>
                <w:szCs w:val="24"/>
                <w:lang w:val="en-US" w:eastAsia="zh-CN"/>
              </w:rPr>
              <w:t>危险废物信息化管理</w:t>
            </w:r>
            <w:r>
              <w:rPr>
                <w:rFonts w:hint="eastAsia" w:ascii="新宋体" w:hAnsi="新宋体" w:eastAsia="新宋体" w:cs="新宋体"/>
                <w:bCs/>
                <w:sz w:val="24"/>
                <w:szCs w:val="24"/>
              </w:rPr>
              <w:t>系统</w:t>
            </w:r>
          </w:p>
        </w:tc>
        <w:tc>
          <w:tcPr>
            <w:tcW w:w="1723" w:type="dxa"/>
            <w:tcBorders>
              <w:left w:val="nil"/>
            </w:tcBorders>
            <w:vAlign w:val="center"/>
          </w:tcPr>
          <w:p>
            <w:pPr>
              <w:jc w:val="left"/>
              <w:rPr>
                <w:rFonts w:hint="eastAsia" w:ascii="新宋体" w:hAnsi="新宋体" w:eastAsia="新宋体" w:cs="新宋体"/>
                <w:bCs/>
                <w:kern w:val="2"/>
                <w:sz w:val="24"/>
                <w:szCs w:val="24"/>
                <w:lang w:val="en-US" w:eastAsia="zh-CN" w:bidi="ar-SA"/>
              </w:rPr>
            </w:pPr>
            <w:r>
              <w:rPr>
                <w:rFonts w:hint="eastAsia" w:ascii="新宋体" w:hAnsi="新宋体" w:eastAsia="新宋体" w:cs="新宋体"/>
                <w:bCs/>
                <w:sz w:val="24"/>
                <w:szCs w:val="24"/>
                <w:lang w:val="en-US" w:eastAsia="zh-CN"/>
              </w:rPr>
              <w:t>基本要求</w:t>
            </w:r>
          </w:p>
        </w:tc>
        <w:tc>
          <w:tcPr>
            <w:tcW w:w="6690" w:type="dxa"/>
            <w:tcBorders>
              <w:left w:val="nil"/>
            </w:tcBorders>
            <w:vAlign w:val="center"/>
          </w:tcPr>
          <w:p>
            <w:pPr>
              <w:numPr>
                <w:ilvl w:val="0"/>
                <w:numId w:val="0"/>
              </w:numPr>
              <w:spacing w:line="240" w:lineRule="auto"/>
              <w:rPr>
                <w:rFonts w:hint="eastAsia" w:ascii="新宋体" w:hAnsi="新宋体" w:eastAsia="新宋体" w:cs="新宋体"/>
                <w:kern w:val="2"/>
                <w:sz w:val="24"/>
                <w:szCs w:val="24"/>
                <w:lang w:val="en-US" w:eastAsia="zh-CN" w:bidi="ar-SA"/>
              </w:rPr>
            </w:pPr>
            <w:r>
              <w:rPr>
                <w:rFonts w:hint="eastAsia" w:ascii="新宋体" w:hAnsi="新宋体" w:eastAsia="新宋体" w:cs="新宋体"/>
                <w:spacing w:val="8"/>
                <w:kern w:val="2"/>
                <w:sz w:val="24"/>
                <w:szCs w:val="24"/>
                <w:shd w:val="clear" w:color="auto" w:fill="FFFFFF"/>
                <w:lang w:val="en-US" w:eastAsia="zh-CN" w:bidi="ar-SA"/>
              </w:rPr>
              <w:t>对危险废物实现信息化溯源管理，实时动态跟踪，数据实现精细化管理。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20" w:type="dxa"/>
            <w:vMerge w:val="continue"/>
            <w:vAlign w:val="center"/>
          </w:tcPr>
          <w:p>
            <w:pPr>
              <w:jc w:val="center"/>
              <w:rPr>
                <w:rFonts w:hint="eastAsia" w:ascii="新宋体" w:hAnsi="新宋体" w:eastAsia="新宋体" w:cs="新宋体"/>
                <w:sz w:val="24"/>
                <w:szCs w:val="24"/>
                <w:lang w:val="en-US" w:eastAsia="zh-CN"/>
              </w:rPr>
            </w:pPr>
          </w:p>
        </w:tc>
        <w:tc>
          <w:tcPr>
            <w:tcW w:w="937" w:type="dxa"/>
            <w:vMerge w:val="continue"/>
            <w:tcBorders>
              <w:left w:val="nil"/>
            </w:tcBorders>
            <w:vAlign w:val="center"/>
          </w:tcPr>
          <w:p>
            <w:pPr>
              <w:jc w:val="both"/>
              <w:rPr>
                <w:rFonts w:hint="eastAsia" w:ascii="新宋体" w:hAnsi="新宋体" w:eastAsia="新宋体" w:cs="新宋体"/>
                <w:sz w:val="24"/>
                <w:szCs w:val="24"/>
              </w:rPr>
            </w:pPr>
          </w:p>
        </w:tc>
        <w:tc>
          <w:tcPr>
            <w:tcW w:w="1723" w:type="dxa"/>
            <w:tcBorders>
              <w:left w:val="nil"/>
            </w:tcBorders>
            <w:vAlign w:val="center"/>
          </w:tcPr>
          <w:p>
            <w:pPr>
              <w:jc w:val="both"/>
              <w:rPr>
                <w:rFonts w:hint="eastAsia" w:ascii="新宋体" w:hAnsi="新宋体" w:eastAsia="新宋体" w:cs="新宋体"/>
                <w:bCs/>
                <w:sz w:val="24"/>
                <w:szCs w:val="24"/>
              </w:rPr>
            </w:pPr>
            <w:r>
              <w:rPr>
                <w:rFonts w:hint="eastAsia" w:ascii="新宋体" w:hAnsi="新宋体" w:eastAsia="新宋体" w:cs="新宋体"/>
                <w:spacing w:val="8"/>
                <w:kern w:val="2"/>
                <w:sz w:val="24"/>
                <w:szCs w:val="24"/>
                <w:shd w:val="clear" w:color="auto" w:fill="FFFFFF"/>
                <w:lang w:val="en-US" w:eastAsia="zh-CN" w:bidi="ar-SA"/>
              </w:rPr>
              <w:t>★首页</w:t>
            </w:r>
          </w:p>
        </w:tc>
        <w:tc>
          <w:tcPr>
            <w:tcW w:w="6690" w:type="dxa"/>
            <w:tcBorders>
              <w:left w:val="nil"/>
            </w:tcBorders>
            <w:vAlign w:val="top"/>
          </w:tcPr>
          <w:p>
            <w:pPr>
              <w:numPr>
                <w:ilvl w:val="0"/>
                <w:numId w:val="0"/>
              </w:numPr>
              <w:spacing w:line="240" w:lineRule="auto"/>
              <w:jc w:val="both"/>
              <w:rPr>
                <w:rFonts w:hint="eastAsia" w:ascii="新宋体" w:hAnsi="新宋体" w:eastAsia="新宋体" w:cs="新宋体"/>
                <w:bCs/>
                <w:sz w:val="24"/>
                <w:szCs w:val="24"/>
              </w:rPr>
            </w:pPr>
            <w:r>
              <w:rPr>
                <w:rFonts w:hint="eastAsia" w:ascii="新宋体" w:hAnsi="新宋体" w:eastAsia="新宋体" w:cs="新宋体"/>
                <w:spacing w:val="8"/>
                <w:kern w:val="2"/>
                <w:sz w:val="24"/>
                <w:szCs w:val="24"/>
                <w:shd w:val="clear" w:color="auto" w:fill="FFFFFF"/>
                <w:lang w:val="en-US" w:eastAsia="zh-CN" w:bidi="ar-SA"/>
              </w:rPr>
              <w:t>多维度展示危险废物统计数据，包含入库统计</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bidi="ar-SA"/>
              </w:rPr>
              <w:t>出库统计，7日内危废总量及变量。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720" w:type="dxa"/>
            <w:vMerge w:val="continue"/>
            <w:vAlign w:val="center"/>
          </w:tcPr>
          <w:p>
            <w:pPr>
              <w:jc w:val="center"/>
              <w:rPr>
                <w:rFonts w:hint="eastAsia" w:ascii="新宋体" w:hAnsi="新宋体" w:eastAsia="新宋体" w:cs="新宋体"/>
                <w:bCs/>
                <w:sz w:val="24"/>
                <w:szCs w:val="24"/>
              </w:rPr>
            </w:pPr>
          </w:p>
        </w:tc>
        <w:tc>
          <w:tcPr>
            <w:tcW w:w="937" w:type="dxa"/>
            <w:vMerge w:val="continue"/>
            <w:tcBorders>
              <w:left w:val="nil"/>
            </w:tcBorders>
            <w:vAlign w:val="center"/>
          </w:tcPr>
          <w:p>
            <w:pPr>
              <w:jc w:val="center"/>
              <w:rPr>
                <w:rFonts w:hint="eastAsia" w:ascii="新宋体" w:hAnsi="新宋体" w:eastAsia="新宋体" w:cs="新宋体"/>
                <w:bCs/>
                <w:sz w:val="24"/>
                <w:szCs w:val="24"/>
              </w:rPr>
            </w:pPr>
          </w:p>
        </w:tc>
        <w:tc>
          <w:tcPr>
            <w:tcW w:w="1723" w:type="dxa"/>
            <w:tcBorders>
              <w:left w:val="nil"/>
            </w:tcBorders>
            <w:vAlign w:val="center"/>
          </w:tcPr>
          <w:p>
            <w:pPr>
              <w:jc w:val="both"/>
              <w:rPr>
                <w:rFonts w:hint="eastAsia" w:ascii="新宋体" w:hAnsi="新宋体" w:eastAsia="新宋体" w:cs="新宋体"/>
                <w:bCs/>
                <w:sz w:val="24"/>
                <w:szCs w:val="24"/>
                <w:lang w:val="en-US" w:eastAsia="zh-CN"/>
              </w:rPr>
            </w:pPr>
            <w:r>
              <w:rPr>
                <w:rFonts w:hint="eastAsia" w:ascii="新宋体" w:hAnsi="新宋体" w:eastAsia="新宋体" w:cs="新宋体"/>
                <w:spacing w:val="8"/>
                <w:kern w:val="2"/>
                <w:sz w:val="24"/>
                <w:szCs w:val="24"/>
                <w:shd w:val="clear" w:color="auto" w:fill="FFFFFF"/>
                <w:lang w:val="en-US" w:eastAsia="zh-CN" w:bidi="ar-SA"/>
              </w:rPr>
              <w:t>★</w:t>
            </w:r>
            <w:r>
              <w:rPr>
                <w:rFonts w:hint="eastAsia" w:ascii="新宋体" w:hAnsi="新宋体" w:eastAsia="新宋体" w:cs="新宋体"/>
                <w:spacing w:val="8"/>
                <w:kern w:val="2"/>
                <w:sz w:val="24"/>
                <w:szCs w:val="24"/>
                <w:shd w:val="clear" w:color="auto" w:fill="FFFFFF"/>
                <w:lang w:val="en-US" w:eastAsia="zh-CN"/>
              </w:rPr>
              <w:t>危废管理</w:t>
            </w:r>
          </w:p>
        </w:tc>
        <w:tc>
          <w:tcPr>
            <w:tcW w:w="6690" w:type="dxa"/>
            <w:tcBorders>
              <w:left w:val="nil"/>
            </w:tcBorders>
            <w:vAlign w:val="center"/>
          </w:tcPr>
          <w:p>
            <w:pPr>
              <w:pStyle w:val="7"/>
              <w:widowControl w:val="0"/>
              <w:numPr>
                <w:ilvl w:val="0"/>
                <w:numId w:val="1"/>
              </w:numPr>
              <w:spacing w:before="0" w:beforeAutospacing="0" w:after="0" w:afterAutospacing="0" w:line="240" w:lineRule="auto"/>
              <w:ind w:left="0" w:leftChars="0" w:firstLine="0" w:firstLineChars="0"/>
              <w:rPr>
                <w:rFonts w:hint="eastAsia" w:ascii="新宋体" w:hAnsi="新宋体" w:eastAsia="新宋体" w:cs="新宋体"/>
                <w:spacing w:val="8"/>
                <w:kern w:val="2"/>
                <w:sz w:val="24"/>
                <w:szCs w:val="24"/>
                <w:shd w:val="clear" w:color="auto" w:fill="FFFFFF"/>
                <w:lang w:val="en-US" w:eastAsia="zh-CN"/>
              </w:rPr>
            </w:pPr>
            <w:r>
              <w:rPr>
                <w:rFonts w:hint="eastAsia" w:ascii="新宋体" w:hAnsi="新宋体" w:eastAsia="新宋体" w:cs="新宋体"/>
                <w:spacing w:val="8"/>
                <w:kern w:val="2"/>
                <w:sz w:val="24"/>
                <w:szCs w:val="24"/>
                <w:shd w:val="clear" w:color="auto" w:fill="FFFFFF"/>
                <w:lang w:val="en-US" w:eastAsia="zh-CN"/>
              </w:rPr>
              <w:t>危废追溯：实现对危险废物流转溯源，如根据危废名称</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状态</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编号</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sz w:val="24"/>
                <w:szCs w:val="24"/>
                <w:shd w:val="clear" w:color="auto" w:fill="FFFFFF"/>
                <w:lang w:val="en-US" w:eastAsia="zh-CN"/>
              </w:rPr>
              <w:t>时间节点等任意方式</w:t>
            </w:r>
            <w:r>
              <w:rPr>
                <w:rFonts w:hint="eastAsia" w:ascii="新宋体" w:hAnsi="新宋体" w:eastAsia="新宋体" w:cs="新宋体"/>
                <w:spacing w:val="8"/>
                <w:kern w:val="2"/>
                <w:sz w:val="24"/>
                <w:szCs w:val="24"/>
                <w:shd w:val="clear" w:color="auto" w:fill="FFFFFF"/>
                <w:lang w:val="en-US" w:eastAsia="zh-CN"/>
              </w:rPr>
              <w:t>对入库</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出库信息溯源，可以生成报表；</w:t>
            </w:r>
          </w:p>
          <w:p>
            <w:pPr>
              <w:pStyle w:val="7"/>
              <w:widowControl w:val="0"/>
              <w:numPr>
                <w:ilvl w:val="0"/>
                <w:numId w:val="1"/>
              </w:numPr>
              <w:spacing w:before="0" w:beforeAutospacing="0" w:after="0" w:afterAutospacing="0" w:line="240" w:lineRule="auto"/>
              <w:ind w:left="0" w:leftChars="0" w:firstLine="0" w:firstLineChars="0"/>
              <w:rPr>
                <w:rFonts w:hint="eastAsia" w:ascii="新宋体" w:hAnsi="新宋体" w:eastAsia="新宋体" w:cs="新宋体"/>
                <w:spacing w:val="8"/>
                <w:kern w:val="2"/>
                <w:sz w:val="24"/>
                <w:szCs w:val="24"/>
                <w:shd w:val="clear" w:color="auto" w:fill="FFFFFF"/>
                <w:lang w:val="en-US" w:eastAsia="zh-CN"/>
              </w:rPr>
            </w:pPr>
            <w:r>
              <w:rPr>
                <w:rFonts w:hint="eastAsia" w:ascii="新宋体" w:hAnsi="新宋体" w:eastAsia="新宋体" w:cs="新宋体"/>
                <w:bCs/>
                <w:sz w:val="24"/>
                <w:szCs w:val="24"/>
                <w:lang w:val="en-US" w:eastAsia="zh-CN"/>
              </w:rPr>
              <w:t>入库记录：</w:t>
            </w:r>
            <w:r>
              <w:rPr>
                <w:rFonts w:hint="eastAsia" w:ascii="新宋体" w:hAnsi="新宋体" w:eastAsia="新宋体" w:cs="新宋体"/>
                <w:spacing w:val="8"/>
                <w:kern w:val="2"/>
                <w:sz w:val="24"/>
                <w:szCs w:val="24"/>
                <w:shd w:val="clear" w:color="auto" w:fill="FFFFFF"/>
                <w:lang w:val="en-US" w:eastAsia="zh-CN"/>
              </w:rPr>
              <w:t>实现危险废物入库记录查询，如根据危废名称</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编号</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sz w:val="24"/>
                <w:szCs w:val="24"/>
                <w:shd w:val="clear" w:color="auto" w:fill="FFFFFF"/>
                <w:lang w:val="en-US" w:eastAsia="zh-CN"/>
              </w:rPr>
              <w:t>时间节点等任意方式查询，</w:t>
            </w:r>
            <w:r>
              <w:rPr>
                <w:rFonts w:hint="eastAsia" w:ascii="新宋体" w:hAnsi="新宋体" w:eastAsia="新宋体" w:cs="新宋体"/>
                <w:spacing w:val="8"/>
                <w:kern w:val="2"/>
                <w:sz w:val="24"/>
                <w:szCs w:val="24"/>
                <w:shd w:val="clear" w:color="auto" w:fill="FFFFFF"/>
                <w:lang w:val="en-US" w:eastAsia="zh-CN"/>
              </w:rPr>
              <w:t>可以生成报表；</w:t>
            </w:r>
          </w:p>
          <w:p>
            <w:pPr>
              <w:pStyle w:val="7"/>
              <w:widowControl w:val="0"/>
              <w:numPr>
                <w:ilvl w:val="0"/>
                <w:numId w:val="1"/>
              </w:numPr>
              <w:spacing w:before="0" w:beforeAutospacing="0" w:after="0" w:afterAutospacing="0" w:line="240" w:lineRule="auto"/>
              <w:ind w:left="0" w:leftChars="0" w:firstLine="0" w:firstLineChars="0"/>
              <w:rPr>
                <w:rFonts w:hint="eastAsia" w:ascii="新宋体" w:hAnsi="新宋体" w:eastAsia="新宋体" w:cs="新宋体"/>
                <w:spacing w:val="8"/>
                <w:kern w:val="2"/>
                <w:sz w:val="24"/>
                <w:szCs w:val="24"/>
                <w:shd w:val="clear" w:color="auto" w:fill="FFFFFF"/>
                <w:lang w:val="en-US" w:eastAsia="zh-CN"/>
              </w:rPr>
            </w:pPr>
            <w:r>
              <w:rPr>
                <w:rFonts w:hint="eastAsia" w:ascii="新宋体" w:hAnsi="新宋体" w:eastAsia="新宋体" w:cs="新宋体"/>
                <w:spacing w:val="8"/>
                <w:kern w:val="2"/>
                <w:sz w:val="24"/>
                <w:szCs w:val="24"/>
                <w:shd w:val="clear" w:color="auto" w:fill="FFFFFF"/>
                <w:lang w:val="en-US" w:eastAsia="zh-CN"/>
              </w:rPr>
              <w:t>出库记录：实现危险废物出库记录查询，如根据危废名称</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编号</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sz w:val="24"/>
                <w:szCs w:val="24"/>
                <w:shd w:val="clear" w:color="auto" w:fill="FFFFFF"/>
                <w:lang w:val="en-US" w:eastAsia="zh-CN"/>
              </w:rPr>
              <w:t>运输单位</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sz w:val="24"/>
                <w:szCs w:val="24"/>
                <w:shd w:val="clear" w:color="auto" w:fill="FFFFFF"/>
                <w:lang w:val="en-US" w:eastAsia="zh-CN"/>
              </w:rPr>
              <w:t>时间节点等任意方式查询，</w:t>
            </w:r>
            <w:r>
              <w:rPr>
                <w:rFonts w:hint="eastAsia" w:ascii="新宋体" w:hAnsi="新宋体" w:eastAsia="新宋体" w:cs="新宋体"/>
                <w:spacing w:val="8"/>
                <w:kern w:val="2"/>
                <w:sz w:val="24"/>
                <w:szCs w:val="24"/>
                <w:shd w:val="clear" w:color="auto" w:fill="FFFFFF"/>
                <w:lang w:val="en-US" w:eastAsia="zh-CN"/>
              </w:rPr>
              <w:t>可以生成报表；</w:t>
            </w:r>
          </w:p>
          <w:p>
            <w:pPr>
              <w:pStyle w:val="7"/>
              <w:widowControl w:val="0"/>
              <w:numPr>
                <w:ilvl w:val="0"/>
                <w:numId w:val="1"/>
              </w:numPr>
              <w:spacing w:before="0" w:beforeAutospacing="0" w:after="0" w:afterAutospacing="0" w:line="240" w:lineRule="auto"/>
              <w:ind w:left="0" w:leftChars="0" w:firstLine="0" w:firstLineChars="0"/>
              <w:rPr>
                <w:rFonts w:hint="eastAsia" w:ascii="新宋体" w:hAnsi="新宋体" w:eastAsia="新宋体" w:cs="新宋体"/>
                <w:spacing w:val="8"/>
                <w:kern w:val="2"/>
                <w:sz w:val="24"/>
                <w:szCs w:val="24"/>
                <w:shd w:val="clear" w:color="auto" w:fill="FFFFFF"/>
                <w:lang w:val="en-US" w:eastAsia="zh-CN"/>
              </w:rPr>
            </w:pPr>
            <w:r>
              <w:rPr>
                <w:rFonts w:hint="eastAsia" w:ascii="新宋体" w:hAnsi="新宋体" w:eastAsia="新宋体" w:cs="新宋体"/>
                <w:spacing w:val="8"/>
                <w:kern w:val="2"/>
                <w:sz w:val="24"/>
                <w:szCs w:val="24"/>
                <w:shd w:val="clear" w:color="auto" w:fill="FFFFFF"/>
                <w:lang w:val="en-US" w:eastAsia="zh-CN"/>
              </w:rPr>
              <w:t>出库配置：对危险废物出库进行运输单位</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准运区域</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kern w:val="2"/>
                <w:sz w:val="24"/>
                <w:szCs w:val="24"/>
                <w:shd w:val="clear" w:color="auto" w:fill="FFFFFF"/>
                <w:lang w:val="en-US" w:eastAsia="zh-CN"/>
              </w:rPr>
              <w:t>准运类型进行配置。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0" w:type="dxa"/>
            <w:vMerge w:val="continue"/>
            <w:vAlign w:val="center"/>
          </w:tcPr>
          <w:p>
            <w:pPr>
              <w:jc w:val="center"/>
              <w:rPr>
                <w:rFonts w:hint="eastAsia" w:ascii="新宋体" w:hAnsi="新宋体" w:eastAsia="新宋体" w:cs="新宋体"/>
                <w:bCs/>
                <w:sz w:val="24"/>
                <w:szCs w:val="24"/>
              </w:rPr>
            </w:pPr>
          </w:p>
        </w:tc>
        <w:tc>
          <w:tcPr>
            <w:tcW w:w="937" w:type="dxa"/>
            <w:vMerge w:val="continue"/>
            <w:tcBorders>
              <w:left w:val="nil"/>
            </w:tcBorders>
            <w:vAlign w:val="center"/>
          </w:tcPr>
          <w:p>
            <w:pPr>
              <w:jc w:val="center"/>
              <w:rPr>
                <w:rFonts w:hint="eastAsia" w:ascii="新宋体" w:hAnsi="新宋体" w:eastAsia="新宋体" w:cs="新宋体"/>
                <w:bCs/>
                <w:sz w:val="24"/>
                <w:szCs w:val="24"/>
              </w:rPr>
            </w:pPr>
          </w:p>
        </w:tc>
        <w:tc>
          <w:tcPr>
            <w:tcW w:w="1723" w:type="dxa"/>
            <w:tcBorders>
              <w:left w:val="nil"/>
            </w:tcBorders>
            <w:vAlign w:val="center"/>
          </w:tcPr>
          <w:p>
            <w:pPr>
              <w:jc w:val="both"/>
              <w:rPr>
                <w:rFonts w:hint="eastAsia" w:ascii="新宋体" w:hAnsi="新宋体" w:eastAsia="新宋体" w:cs="新宋体"/>
                <w:bCs/>
                <w:kern w:val="2"/>
                <w:sz w:val="24"/>
                <w:szCs w:val="24"/>
                <w:lang w:val="en-US" w:eastAsia="zh-CN" w:bidi="ar-SA"/>
              </w:rPr>
            </w:pPr>
            <w:r>
              <w:rPr>
                <w:rFonts w:hint="eastAsia" w:ascii="新宋体" w:hAnsi="新宋体" w:eastAsia="新宋体" w:cs="新宋体"/>
                <w:spacing w:val="8"/>
                <w:kern w:val="2"/>
                <w:sz w:val="24"/>
                <w:szCs w:val="24"/>
                <w:shd w:val="clear" w:color="auto" w:fill="FFFFFF"/>
                <w:lang w:val="en-US" w:eastAsia="zh-CN" w:bidi="ar-SA"/>
              </w:rPr>
              <w:t>★</w:t>
            </w:r>
            <w:r>
              <w:rPr>
                <w:rFonts w:hint="eastAsia" w:ascii="新宋体" w:hAnsi="新宋体" w:eastAsia="新宋体" w:cs="新宋体"/>
                <w:spacing w:val="8"/>
                <w:kern w:val="2"/>
                <w:sz w:val="24"/>
                <w:szCs w:val="24"/>
                <w:shd w:val="clear" w:color="auto" w:fill="FFFFFF"/>
                <w:lang w:val="en-US" w:eastAsia="zh-CN"/>
              </w:rPr>
              <w:t>系统管理</w:t>
            </w:r>
          </w:p>
        </w:tc>
        <w:tc>
          <w:tcPr>
            <w:tcW w:w="6690" w:type="dxa"/>
            <w:tcBorders>
              <w:left w:val="nil"/>
            </w:tcBorders>
            <w:vAlign w:val="center"/>
          </w:tcPr>
          <w:p>
            <w:pPr>
              <w:numPr>
                <w:ilvl w:val="0"/>
                <w:numId w:val="2"/>
              </w:numPr>
              <w:spacing w:line="240" w:lineRule="auto"/>
              <w:jc w:val="both"/>
              <w:rPr>
                <w:rFonts w:hint="eastAsia" w:ascii="新宋体" w:hAnsi="新宋体" w:eastAsia="新宋体" w:cs="新宋体"/>
                <w:spacing w:val="8"/>
                <w:kern w:val="2"/>
                <w:sz w:val="24"/>
                <w:szCs w:val="24"/>
                <w:shd w:val="clear" w:color="auto" w:fill="FFFFFF"/>
                <w:lang w:val="en-US" w:eastAsia="zh-CN"/>
              </w:rPr>
            </w:pPr>
            <w:r>
              <w:rPr>
                <w:rFonts w:hint="eastAsia" w:ascii="新宋体" w:hAnsi="新宋体" w:eastAsia="新宋体" w:cs="新宋体"/>
                <w:spacing w:val="8"/>
                <w:sz w:val="24"/>
                <w:szCs w:val="24"/>
                <w:shd w:val="clear" w:color="auto" w:fill="FFFFFF"/>
                <w:lang w:val="en-US" w:eastAsia="zh-CN"/>
              </w:rPr>
              <w:t>根据实际情况对危险废物名称</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spacing w:val="8"/>
                <w:sz w:val="24"/>
                <w:szCs w:val="24"/>
                <w:shd w:val="clear" w:color="auto" w:fill="FFFFFF"/>
                <w:lang w:val="en-US" w:eastAsia="zh-CN"/>
              </w:rPr>
              <w:t>种类及编码</w:t>
            </w:r>
            <w:r>
              <w:rPr>
                <w:rFonts w:hint="eastAsia" w:ascii="新宋体" w:hAnsi="新宋体" w:eastAsia="新宋体" w:cs="新宋体"/>
                <w:spacing w:val="8"/>
                <w:kern w:val="2"/>
                <w:sz w:val="24"/>
                <w:szCs w:val="24"/>
                <w:shd w:val="clear" w:color="auto" w:fill="FFFFFF"/>
                <w:lang w:val="en-US" w:eastAsia="zh-CN"/>
              </w:rPr>
              <w:t>进行配置管理；</w:t>
            </w:r>
          </w:p>
          <w:p>
            <w:pPr>
              <w:numPr>
                <w:ilvl w:val="0"/>
                <w:numId w:val="2"/>
              </w:numPr>
              <w:spacing w:line="240" w:lineRule="auto"/>
              <w:jc w:val="both"/>
              <w:rPr>
                <w:rFonts w:hint="eastAsia" w:ascii="新宋体" w:hAnsi="新宋体" w:eastAsia="新宋体" w:cs="新宋体"/>
                <w:bCs/>
                <w:kern w:val="2"/>
                <w:sz w:val="24"/>
                <w:szCs w:val="24"/>
                <w:lang w:val="en-US" w:eastAsia="zh-CN" w:bidi="ar-SA"/>
              </w:rPr>
            </w:pPr>
            <w:r>
              <w:rPr>
                <w:rFonts w:hint="eastAsia" w:ascii="新宋体" w:hAnsi="新宋体" w:eastAsia="新宋体" w:cs="新宋体"/>
                <w:spacing w:val="8"/>
                <w:sz w:val="24"/>
                <w:szCs w:val="24"/>
                <w:shd w:val="clear" w:color="auto" w:fill="FFFFFF"/>
                <w:lang w:val="en-US" w:eastAsia="zh-CN"/>
              </w:rPr>
              <w:t>根据实际情况对</w:t>
            </w:r>
            <w:r>
              <w:rPr>
                <w:rFonts w:hint="eastAsia" w:ascii="新宋体" w:hAnsi="新宋体" w:eastAsia="新宋体" w:cs="新宋体"/>
                <w:spacing w:val="8"/>
                <w:kern w:val="2"/>
                <w:sz w:val="24"/>
                <w:szCs w:val="24"/>
                <w:shd w:val="clear" w:color="auto" w:fill="FFFFFF"/>
                <w:lang w:val="en-US" w:eastAsia="zh-CN"/>
              </w:rPr>
              <w:t>人员及角色进行配置管理。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20" w:type="dxa"/>
            <w:vMerge w:val="continue"/>
            <w:vAlign w:val="center"/>
          </w:tcPr>
          <w:p>
            <w:pPr>
              <w:jc w:val="center"/>
              <w:rPr>
                <w:rFonts w:hint="eastAsia" w:ascii="新宋体" w:hAnsi="新宋体" w:eastAsia="新宋体" w:cs="新宋体"/>
                <w:sz w:val="24"/>
                <w:szCs w:val="24"/>
              </w:rPr>
            </w:pPr>
          </w:p>
        </w:tc>
        <w:tc>
          <w:tcPr>
            <w:tcW w:w="937" w:type="dxa"/>
            <w:vMerge w:val="continue"/>
            <w:tcBorders>
              <w:left w:val="nil"/>
            </w:tcBorders>
            <w:vAlign w:val="center"/>
          </w:tcPr>
          <w:p>
            <w:pPr>
              <w:jc w:val="both"/>
              <w:rPr>
                <w:rFonts w:hint="eastAsia" w:ascii="新宋体" w:hAnsi="新宋体" w:eastAsia="新宋体" w:cs="新宋体"/>
                <w:bCs/>
                <w:sz w:val="24"/>
                <w:szCs w:val="24"/>
                <w:lang w:val="en-US" w:eastAsia="zh-CN"/>
              </w:rPr>
            </w:pPr>
          </w:p>
        </w:tc>
        <w:tc>
          <w:tcPr>
            <w:tcW w:w="1723" w:type="dxa"/>
            <w:tcBorders>
              <w:left w:val="nil"/>
            </w:tcBorders>
            <w:vAlign w:val="center"/>
          </w:tcPr>
          <w:p>
            <w:pPr>
              <w:jc w:val="both"/>
              <w:rPr>
                <w:rFonts w:hint="eastAsia" w:ascii="新宋体" w:hAnsi="新宋体" w:eastAsia="新宋体" w:cs="新宋体"/>
                <w:bCs/>
                <w:sz w:val="24"/>
                <w:szCs w:val="24"/>
                <w:lang w:val="en-US" w:eastAsia="zh-CN"/>
              </w:rPr>
            </w:pPr>
            <w:r>
              <w:rPr>
                <w:rFonts w:hint="eastAsia" w:ascii="新宋体" w:hAnsi="新宋体" w:eastAsia="新宋体" w:cs="新宋体"/>
                <w:spacing w:val="8"/>
                <w:kern w:val="2"/>
                <w:sz w:val="24"/>
                <w:szCs w:val="24"/>
                <w:shd w:val="clear" w:color="auto" w:fill="FFFFFF"/>
                <w:lang w:val="en-US" w:eastAsia="zh-CN" w:bidi="ar-SA"/>
              </w:rPr>
              <w:t>★系统</w:t>
            </w:r>
            <w:r>
              <w:rPr>
                <w:rFonts w:hint="eastAsia" w:ascii="新宋体" w:hAnsi="新宋体" w:eastAsia="新宋体" w:cs="新宋体"/>
                <w:bCs/>
                <w:sz w:val="24"/>
                <w:szCs w:val="24"/>
                <w:lang w:val="en-US" w:eastAsia="zh-CN"/>
              </w:rPr>
              <w:t>接入</w:t>
            </w:r>
          </w:p>
        </w:tc>
        <w:tc>
          <w:tcPr>
            <w:tcW w:w="6690" w:type="dxa"/>
            <w:tcBorders>
              <w:left w:val="nil"/>
            </w:tcBorders>
            <w:vAlign w:val="top"/>
          </w:tcPr>
          <w:p>
            <w:pPr>
              <w:pStyle w:val="2"/>
              <w:spacing w:line="240" w:lineRule="auto"/>
              <w:rPr>
                <w:rFonts w:hint="eastAsia" w:ascii="新宋体" w:hAnsi="新宋体" w:eastAsia="新宋体" w:cs="新宋体"/>
                <w:bCs/>
                <w:color w:val="000000"/>
                <w:sz w:val="24"/>
                <w:szCs w:val="24"/>
                <w:lang w:val="en-US" w:eastAsia="zh-CN"/>
              </w:rPr>
            </w:pPr>
            <w:r>
              <w:rPr>
                <w:rFonts w:hint="eastAsia" w:ascii="新宋体" w:hAnsi="新宋体" w:eastAsia="新宋体" w:cs="新宋体"/>
                <w:spacing w:val="8"/>
                <w:kern w:val="2"/>
                <w:sz w:val="24"/>
                <w:szCs w:val="24"/>
                <w:shd w:val="clear" w:color="auto" w:fill="FFFFFF"/>
                <w:lang w:val="en-US" w:eastAsia="zh-CN" w:bidi="ar-SA"/>
              </w:rPr>
              <w:t>必须满足省市监管要求，达到《四川省危险废物物联网监管系统建设技术要求（试行）》要求并和四川省固体废物管理平台（“无废四川”）对接。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720" w:type="dxa"/>
            <w:vMerge w:val="restart"/>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937" w:type="dxa"/>
            <w:vMerge w:val="restart"/>
            <w:tcBorders>
              <w:left w:val="nil"/>
            </w:tcBorders>
            <w:vAlign w:val="center"/>
          </w:tcPr>
          <w:p>
            <w:pPr>
              <w:jc w:val="both"/>
              <w:rPr>
                <w:rFonts w:hint="eastAsia" w:ascii="新宋体" w:hAnsi="新宋体" w:eastAsia="新宋体" w:cs="新宋体"/>
                <w:sz w:val="24"/>
                <w:szCs w:val="24"/>
                <w:lang w:val="en-US"/>
              </w:rPr>
            </w:pPr>
            <w:r>
              <w:rPr>
                <w:rFonts w:hint="eastAsia" w:ascii="新宋体" w:hAnsi="新宋体" w:eastAsia="新宋体" w:cs="新宋体"/>
                <w:bCs/>
                <w:sz w:val="24"/>
                <w:szCs w:val="24"/>
                <w:lang w:val="en-US" w:eastAsia="zh-CN"/>
              </w:rPr>
              <w:t>智能移动终端机</w:t>
            </w:r>
          </w:p>
        </w:tc>
        <w:tc>
          <w:tcPr>
            <w:tcW w:w="1723"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配置要求</w:t>
            </w:r>
          </w:p>
        </w:tc>
        <w:tc>
          <w:tcPr>
            <w:tcW w:w="6690" w:type="dxa"/>
            <w:tcBorders>
              <w:left w:val="nil"/>
            </w:tcBorders>
            <w:vAlign w:val="center"/>
          </w:tcPr>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1.操作系统：Android 9.0；</w:t>
            </w:r>
          </w:p>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2.处理器：4核64位处理器，1.3GHz；</w:t>
            </w:r>
          </w:p>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★3.内存：RAM：2GB ROM：16GB；</w:t>
            </w:r>
          </w:p>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4.显示屏：5.5英寸彩色全面屏（720×1280）；</w:t>
            </w:r>
          </w:p>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5.NFC：13.56MHz，支持ISO14443 A&amp;B、ISO15693协议；</w:t>
            </w:r>
          </w:p>
          <w:p>
            <w:pPr>
              <w:pStyle w:val="2"/>
              <w:spacing w:line="240" w:lineRule="auto"/>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★6.蓝牙：2.1+EDR，3.0+HS，4.0L</w:t>
            </w:r>
            <w:r>
              <w:rPr>
                <w:rFonts w:hint="eastAsia" w:ascii="新宋体" w:hAnsi="新宋体" w:eastAsia="新宋体" w:cs="新宋体"/>
                <w:sz w:val="24"/>
                <w:szCs w:val="24"/>
              </w:rPr>
              <w:t>E</w:t>
            </w:r>
            <w:r>
              <w:rPr>
                <w:rFonts w:hint="eastAsia" w:ascii="新宋体" w:hAnsi="新宋体" w:eastAsia="新宋体" w:cs="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0" w:type="dxa"/>
            <w:vMerge w:val="continue"/>
            <w:vAlign w:val="center"/>
          </w:tcPr>
          <w:p>
            <w:pPr>
              <w:spacing w:line="240" w:lineRule="auto"/>
              <w:jc w:val="both"/>
              <w:rPr>
                <w:rFonts w:hint="eastAsia" w:ascii="新宋体" w:hAnsi="新宋体" w:eastAsia="新宋体" w:cs="新宋体"/>
                <w:sz w:val="24"/>
                <w:szCs w:val="24"/>
              </w:rPr>
            </w:pPr>
          </w:p>
        </w:tc>
        <w:tc>
          <w:tcPr>
            <w:tcW w:w="937" w:type="dxa"/>
            <w:vMerge w:val="continue"/>
            <w:tcBorders>
              <w:left w:val="nil"/>
            </w:tcBorders>
            <w:vAlign w:val="center"/>
          </w:tcPr>
          <w:p>
            <w:pPr>
              <w:spacing w:line="240" w:lineRule="auto"/>
              <w:jc w:val="both"/>
              <w:rPr>
                <w:rFonts w:hint="eastAsia" w:ascii="新宋体" w:hAnsi="新宋体" w:eastAsia="新宋体" w:cs="新宋体"/>
                <w:sz w:val="24"/>
                <w:szCs w:val="24"/>
              </w:rPr>
            </w:pPr>
          </w:p>
        </w:tc>
        <w:tc>
          <w:tcPr>
            <w:tcW w:w="1723"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w:t>
            </w:r>
            <w:r>
              <w:rPr>
                <w:rFonts w:hint="eastAsia" w:ascii="新宋体" w:hAnsi="新宋体" w:eastAsia="新宋体" w:cs="新宋体"/>
                <w:bCs/>
                <w:color w:val="000000"/>
                <w:sz w:val="24"/>
                <w:szCs w:val="24"/>
                <w:lang w:val="en-US" w:eastAsia="zh-CN"/>
              </w:rPr>
              <w:t>系统配置（内嵌软件，实现入库</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bCs/>
                <w:color w:val="000000"/>
                <w:sz w:val="24"/>
                <w:szCs w:val="24"/>
                <w:lang w:val="en-US" w:eastAsia="zh-CN"/>
              </w:rPr>
              <w:t>出库</w:t>
            </w:r>
            <w:r>
              <w:rPr>
                <w:rFonts w:hint="eastAsia" w:ascii="新宋体" w:hAnsi="新宋体" w:eastAsia="新宋体" w:cs="新宋体"/>
                <w:spacing w:val="8"/>
                <w:sz w:val="24"/>
                <w:szCs w:val="24"/>
                <w:shd w:val="clear" w:color="auto" w:fill="FFFFFF"/>
              </w:rPr>
              <w:t>、</w:t>
            </w:r>
            <w:r>
              <w:rPr>
                <w:rFonts w:hint="eastAsia" w:ascii="新宋体" w:hAnsi="新宋体" w:eastAsia="新宋体" w:cs="新宋体"/>
                <w:bCs/>
                <w:color w:val="000000"/>
                <w:sz w:val="24"/>
                <w:szCs w:val="24"/>
                <w:lang w:val="en-US" w:eastAsia="zh-CN"/>
              </w:rPr>
              <w:t>统计需求）</w:t>
            </w:r>
          </w:p>
        </w:tc>
        <w:tc>
          <w:tcPr>
            <w:tcW w:w="6690"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1.入库：实时采集危险废物称重入库数据；</w:t>
            </w:r>
          </w:p>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2.出库：实现对危险废物进行单独或批量出库；</w:t>
            </w:r>
          </w:p>
          <w:p>
            <w:pPr>
              <w:spacing w:line="240" w:lineRule="auto"/>
              <w:jc w:val="both"/>
              <w:rPr>
                <w:rFonts w:hint="eastAsia" w:ascii="新宋体" w:hAnsi="新宋体" w:eastAsia="新宋体" w:cs="新宋体"/>
                <w:sz w:val="24"/>
                <w:szCs w:val="24"/>
                <w:lang w:val="en-US" w:eastAsia="zh-CN"/>
              </w:rPr>
            </w:pPr>
            <w:r>
              <w:rPr>
                <w:rFonts w:hint="eastAsia" w:ascii="新宋体" w:hAnsi="新宋体" w:eastAsia="新宋体" w:cs="新宋体"/>
                <w:spacing w:val="8"/>
                <w:kern w:val="2"/>
                <w:sz w:val="24"/>
                <w:szCs w:val="24"/>
                <w:shd w:val="clear" w:color="auto" w:fill="FFFFFF"/>
                <w:lang w:val="en-US" w:eastAsia="zh-CN" w:bidi="ar-SA"/>
              </w:rPr>
              <w:t>3.统计：支持任意时间节点的入库和出库数据统计。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vAlign w:val="center"/>
          </w:tcPr>
          <w:p>
            <w:pPr>
              <w:jc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3</w:t>
            </w:r>
          </w:p>
        </w:tc>
        <w:tc>
          <w:tcPr>
            <w:tcW w:w="937" w:type="dxa"/>
            <w:tcBorders>
              <w:left w:val="nil"/>
            </w:tcBorders>
            <w:vAlign w:val="center"/>
          </w:tcPr>
          <w:p>
            <w:pPr>
              <w:jc w:val="both"/>
              <w:rPr>
                <w:rFonts w:hint="eastAsia" w:ascii="新宋体" w:hAnsi="新宋体" w:eastAsia="新宋体" w:cs="新宋体"/>
                <w:bCs/>
                <w:sz w:val="24"/>
                <w:szCs w:val="24"/>
                <w:lang w:val="en-US" w:eastAsia="zh-CN"/>
              </w:rPr>
            </w:pPr>
            <w:r>
              <w:rPr>
                <w:rFonts w:hint="eastAsia" w:ascii="新宋体" w:hAnsi="新宋体" w:eastAsia="新宋体" w:cs="新宋体"/>
                <w:b w:val="0"/>
                <w:bCs/>
                <w:sz w:val="24"/>
                <w:szCs w:val="24"/>
                <w:lang w:val="en-US" w:eastAsia="zh-CN"/>
              </w:rPr>
              <w:t>条码</w:t>
            </w:r>
            <w:r>
              <w:rPr>
                <w:rFonts w:hint="eastAsia" w:ascii="新宋体" w:hAnsi="新宋体" w:eastAsia="新宋体" w:cs="新宋体"/>
                <w:b w:val="0"/>
                <w:bCs/>
                <w:sz w:val="24"/>
                <w:szCs w:val="24"/>
                <w:lang w:val="en-US"/>
              </w:rPr>
              <w:t>打印机</w:t>
            </w:r>
          </w:p>
        </w:tc>
        <w:tc>
          <w:tcPr>
            <w:tcW w:w="1723"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配置要求</w:t>
            </w:r>
          </w:p>
        </w:tc>
        <w:tc>
          <w:tcPr>
            <w:tcW w:w="6690" w:type="dxa"/>
            <w:tcBorders>
              <w:left w:val="nil"/>
            </w:tcBorders>
            <w:vAlign w:val="center"/>
          </w:tcPr>
          <w:p>
            <w:pPr>
              <w:pStyle w:val="2"/>
              <w:spacing w:line="24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1.支持蓝牙4.2，连接稳定，支持多设备连接</w:t>
            </w:r>
            <w:r>
              <w:rPr>
                <w:rFonts w:hint="eastAsia" w:ascii="新宋体" w:hAnsi="新宋体" w:eastAsia="新宋体" w:cs="新宋体"/>
                <w:sz w:val="24"/>
                <w:szCs w:val="24"/>
                <w:lang w:eastAsia="zh-CN"/>
              </w:rPr>
              <w:t>；</w:t>
            </w:r>
          </w:p>
          <w:p>
            <w:pPr>
              <w:pStyle w:val="2"/>
              <w:spacing w:line="24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2.90mm/s打印速度，56mm直径大纸仓，可打印多种国家语言、数字、图形、条码</w:t>
            </w:r>
            <w:r>
              <w:rPr>
                <w:rFonts w:hint="eastAsia" w:ascii="新宋体" w:hAnsi="新宋体" w:eastAsia="新宋体" w:cs="新宋体"/>
                <w:sz w:val="24"/>
                <w:szCs w:val="24"/>
                <w:lang w:eastAsia="zh-CN"/>
              </w:rPr>
              <w:t>；</w:t>
            </w:r>
          </w:p>
          <w:p>
            <w:pPr>
              <w:pStyle w:val="2"/>
              <w:spacing w:line="24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3.通过间隙检测、黑标检测，可打印不同尺寸的不干胶标签</w:t>
            </w:r>
            <w:r>
              <w:rPr>
                <w:rFonts w:hint="eastAsia" w:ascii="新宋体" w:hAnsi="新宋体" w:eastAsia="新宋体" w:cs="新宋体"/>
                <w:sz w:val="24"/>
                <w:szCs w:val="24"/>
                <w:lang w:eastAsia="zh-CN"/>
              </w:rPr>
              <w:t>；</w:t>
            </w:r>
          </w:p>
          <w:p>
            <w:pPr>
              <w:pStyle w:val="2"/>
              <w:spacing w:line="24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4.1600mAh大容量电池，保证全天工作的持久续航</w:t>
            </w:r>
            <w:r>
              <w:rPr>
                <w:rFonts w:hint="eastAsia" w:ascii="新宋体" w:hAnsi="新宋体" w:eastAsia="新宋体" w:cs="新宋体"/>
                <w:sz w:val="24"/>
                <w:szCs w:val="24"/>
                <w:lang w:eastAsia="zh-CN"/>
              </w:rPr>
              <w:t>；</w:t>
            </w:r>
          </w:p>
          <w:p>
            <w:pPr>
              <w:pStyle w:val="2"/>
              <w:spacing w:line="240" w:lineRule="auto"/>
              <w:rPr>
                <w:rFonts w:hint="eastAsia" w:ascii="新宋体" w:hAnsi="新宋体" w:eastAsia="新宋体" w:cs="新宋体"/>
                <w:sz w:val="24"/>
                <w:szCs w:val="24"/>
                <w:lang w:eastAsia="zh-CN"/>
              </w:rPr>
            </w:pPr>
            <w:r>
              <w:rPr>
                <w:rFonts w:hint="eastAsia" w:ascii="新宋体" w:hAnsi="新宋体" w:eastAsia="新宋体" w:cs="新宋体"/>
                <w:spacing w:val="8"/>
                <w:kern w:val="2"/>
                <w:sz w:val="24"/>
                <w:szCs w:val="24"/>
                <w:shd w:val="clear" w:color="auto" w:fill="FFFFFF"/>
                <w:lang w:val="en-US" w:eastAsia="zh-CN" w:bidi="ar-SA"/>
              </w:rPr>
              <w:t>★</w:t>
            </w:r>
            <w:r>
              <w:rPr>
                <w:rFonts w:hint="eastAsia" w:ascii="新宋体" w:hAnsi="新宋体" w:eastAsia="新宋体" w:cs="新宋体"/>
                <w:sz w:val="24"/>
                <w:szCs w:val="24"/>
              </w:rPr>
              <w:t>5.有效打印宽度（Max）:104mm</w:t>
            </w:r>
            <w:r>
              <w:rPr>
                <w:rFonts w:hint="eastAsia" w:ascii="新宋体" w:hAnsi="新宋体" w:eastAsia="新宋体" w:cs="新宋体"/>
                <w:sz w:val="24"/>
                <w:szCs w:val="24"/>
                <w:lang w:eastAsia="zh-CN"/>
              </w:rPr>
              <w:t>；</w:t>
            </w:r>
          </w:p>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z w:val="24"/>
                <w:szCs w:val="24"/>
              </w:rPr>
              <w:t>6.缺纸检测、电量不足检测、开盖检测，充电提醒，充电结束提醒</w:t>
            </w:r>
            <w:r>
              <w:rPr>
                <w:rFonts w:hint="eastAsia" w:ascii="新宋体" w:hAnsi="新宋体" w:eastAsia="新宋体" w:cs="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vAlign w:val="center"/>
          </w:tcPr>
          <w:p>
            <w:pPr>
              <w:jc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4</w:t>
            </w:r>
          </w:p>
        </w:tc>
        <w:tc>
          <w:tcPr>
            <w:tcW w:w="937" w:type="dxa"/>
            <w:tcBorders>
              <w:left w:val="nil"/>
            </w:tcBorders>
            <w:vAlign w:val="center"/>
          </w:tcPr>
          <w:p>
            <w:pPr>
              <w:jc w:val="both"/>
              <w:rPr>
                <w:rFonts w:hint="eastAsia" w:ascii="新宋体" w:hAnsi="新宋体" w:eastAsia="新宋体" w:cs="新宋体"/>
                <w:bCs/>
                <w:sz w:val="24"/>
                <w:szCs w:val="24"/>
                <w:lang w:val="en-US" w:eastAsia="zh-CN"/>
              </w:rPr>
            </w:pPr>
            <w:r>
              <w:rPr>
                <w:rFonts w:hint="eastAsia" w:ascii="新宋体" w:hAnsi="新宋体" w:eastAsia="新宋体" w:cs="新宋体"/>
                <w:b w:val="0"/>
                <w:bCs w:val="0"/>
                <w:sz w:val="24"/>
                <w:szCs w:val="24"/>
                <w:lang w:val="en-US" w:eastAsia="zh-CN"/>
              </w:rPr>
              <w:t>平台对接</w:t>
            </w:r>
          </w:p>
        </w:tc>
        <w:tc>
          <w:tcPr>
            <w:tcW w:w="1723" w:type="dxa"/>
            <w:tcBorders>
              <w:left w:val="nil"/>
            </w:tcBorders>
            <w:vAlign w:val="center"/>
          </w:tcPr>
          <w:p>
            <w:pPr>
              <w:widowControl/>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w:t>
            </w:r>
            <w:r>
              <w:rPr>
                <w:rFonts w:hint="eastAsia" w:ascii="新宋体" w:hAnsi="新宋体" w:eastAsia="新宋体" w:cs="新宋体"/>
                <w:b w:val="0"/>
                <w:bCs w:val="0"/>
                <w:sz w:val="24"/>
                <w:szCs w:val="24"/>
                <w:lang w:val="en-US" w:eastAsia="zh-CN"/>
              </w:rPr>
              <w:t>平台对接</w:t>
            </w:r>
          </w:p>
        </w:tc>
        <w:tc>
          <w:tcPr>
            <w:tcW w:w="6690" w:type="dxa"/>
            <w:tcBorders>
              <w:left w:val="nil"/>
            </w:tcBorders>
            <w:vAlign w:val="center"/>
          </w:tcPr>
          <w:p>
            <w:pPr>
              <w:widowControl/>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b w:val="0"/>
                <w:bCs w:val="0"/>
                <w:sz w:val="24"/>
                <w:szCs w:val="24"/>
                <w:lang w:val="en-US" w:eastAsia="zh-CN"/>
              </w:rPr>
              <w:t>医疗废物在线监管平台对接“无废四川”系统。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vAlign w:val="center"/>
          </w:tcPr>
          <w:p>
            <w:pPr>
              <w:jc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5</w:t>
            </w:r>
          </w:p>
        </w:tc>
        <w:tc>
          <w:tcPr>
            <w:tcW w:w="937" w:type="dxa"/>
            <w:tcBorders>
              <w:left w:val="nil"/>
            </w:tcBorders>
            <w:vAlign w:val="center"/>
          </w:tcPr>
          <w:p>
            <w:pPr>
              <w:jc w:val="both"/>
              <w:rPr>
                <w:rFonts w:hint="eastAsia" w:ascii="新宋体" w:hAnsi="新宋体" w:eastAsia="新宋体" w:cs="新宋体"/>
                <w:bCs/>
                <w:sz w:val="24"/>
                <w:szCs w:val="24"/>
                <w:lang w:val="en-US" w:eastAsia="zh-CN"/>
              </w:rPr>
            </w:pPr>
            <w:r>
              <w:rPr>
                <w:rFonts w:hint="eastAsia" w:ascii="新宋体" w:hAnsi="新宋体" w:eastAsia="新宋体" w:cs="新宋体"/>
                <w:b w:val="0"/>
                <w:bCs/>
                <w:sz w:val="24"/>
                <w:szCs w:val="24"/>
                <w:lang w:val="en-US"/>
              </w:rPr>
              <w:t>危险废物</w:t>
            </w:r>
            <w:r>
              <w:rPr>
                <w:rFonts w:hint="eastAsia" w:ascii="新宋体" w:hAnsi="新宋体" w:eastAsia="新宋体" w:cs="新宋体"/>
                <w:b w:val="0"/>
                <w:bCs/>
                <w:sz w:val="24"/>
                <w:szCs w:val="24"/>
                <w:lang w:val="en-US" w:eastAsia="zh-CN"/>
              </w:rPr>
              <w:t>条码</w:t>
            </w:r>
            <w:r>
              <w:rPr>
                <w:rFonts w:hint="eastAsia" w:ascii="新宋体" w:hAnsi="新宋体" w:eastAsia="新宋体" w:cs="新宋体"/>
                <w:b w:val="0"/>
                <w:bCs/>
                <w:sz w:val="24"/>
                <w:szCs w:val="24"/>
                <w:lang w:val="en-US"/>
              </w:rPr>
              <w:t>标签</w:t>
            </w:r>
          </w:p>
        </w:tc>
        <w:tc>
          <w:tcPr>
            <w:tcW w:w="1723"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b w:val="0"/>
                <w:bCs/>
                <w:sz w:val="24"/>
                <w:szCs w:val="24"/>
                <w:lang w:val="en-US" w:eastAsia="zh-CN"/>
              </w:rPr>
              <w:t>100mm*100mm</w:t>
            </w:r>
          </w:p>
        </w:tc>
        <w:tc>
          <w:tcPr>
            <w:tcW w:w="6690" w:type="dxa"/>
            <w:tcBorders>
              <w:left w:val="nil"/>
            </w:tcBorders>
            <w:vAlign w:val="center"/>
          </w:tcPr>
          <w:p>
            <w:pPr>
              <w:spacing w:line="240" w:lineRule="auto"/>
              <w:jc w:val="both"/>
              <w:rPr>
                <w:rFonts w:hint="eastAsia" w:ascii="新宋体" w:hAnsi="新宋体" w:eastAsia="新宋体" w:cs="新宋体"/>
                <w:spacing w:val="8"/>
                <w:kern w:val="2"/>
                <w:sz w:val="24"/>
                <w:szCs w:val="24"/>
                <w:shd w:val="clear" w:color="auto" w:fill="FFFFFF"/>
                <w:lang w:val="en-US" w:eastAsia="zh-CN" w:bidi="ar-SA"/>
              </w:rPr>
            </w:pPr>
            <w:r>
              <w:rPr>
                <w:rFonts w:hint="eastAsia" w:ascii="新宋体" w:hAnsi="新宋体" w:eastAsia="新宋体" w:cs="新宋体"/>
                <w:spacing w:val="8"/>
                <w:kern w:val="2"/>
                <w:sz w:val="24"/>
                <w:szCs w:val="24"/>
                <w:shd w:val="clear" w:color="auto" w:fill="FFFFFF"/>
                <w:lang w:val="en-US" w:eastAsia="zh-CN" w:bidi="ar-SA"/>
              </w:rPr>
              <w:t>满足生态环境部“危险废物识别标志设置技术规范”要求。</w:t>
            </w:r>
          </w:p>
        </w:tc>
      </w:tr>
      <w:bookmarkEnd w:id="0"/>
    </w:tbl>
    <w:p>
      <w:pPr>
        <w:numPr>
          <w:ilvl w:val="0"/>
          <w:numId w:val="0"/>
        </w:numPr>
        <w:spacing w:line="360" w:lineRule="auto"/>
        <w:outlineLvl w:val="1"/>
        <w:rPr>
          <w:rFonts w:hint="eastAsia" w:ascii="宋体" w:hAnsi="宋体" w:eastAsia="宋体" w:cs="宋体"/>
          <w:b/>
          <w:sz w:val="30"/>
          <w:szCs w:val="30"/>
          <w:lang w:val="en-US" w:eastAsia="zh-CN"/>
        </w:rPr>
      </w:pPr>
      <w:bookmarkStart w:id="3" w:name="_Toc8820"/>
      <w:bookmarkStart w:id="4" w:name="_Toc217446095"/>
    </w:p>
    <w:p>
      <w:pPr>
        <w:numPr>
          <w:ilvl w:val="0"/>
          <w:numId w:val="0"/>
        </w:numPr>
        <w:spacing w:line="360" w:lineRule="auto"/>
        <w:outlineLvl w:val="1"/>
        <w:rPr>
          <w:rFonts w:hint="eastAsia" w:ascii="宋体" w:hAnsi="宋体" w:eastAsia="宋体" w:cs="宋体"/>
          <w:b/>
          <w:sz w:val="30"/>
          <w:szCs w:val="30"/>
        </w:rPr>
      </w:pPr>
      <w:r>
        <w:rPr>
          <w:rFonts w:hint="eastAsia" w:ascii="宋体" w:hAnsi="宋体" w:eastAsia="宋体" w:cs="宋体"/>
          <w:b/>
          <w:sz w:val="30"/>
          <w:szCs w:val="30"/>
          <w:lang w:val="en-US" w:eastAsia="zh-CN"/>
        </w:rPr>
        <w:t>三</w:t>
      </w:r>
      <w:r>
        <w:rPr>
          <w:rFonts w:hint="eastAsia" w:ascii="宋体" w:hAnsi="宋体" w:eastAsia="宋体" w:cs="宋体"/>
          <w:b/>
          <w:sz w:val="30"/>
          <w:szCs w:val="30"/>
        </w:rPr>
        <w:t>、</w:t>
      </w:r>
      <w:r>
        <w:rPr>
          <w:rFonts w:hint="eastAsia" w:ascii="宋体" w:hAnsi="宋体" w:eastAsia="宋体" w:cs="宋体"/>
          <w:b/>
          <w:sz w:val="30"/>
          <w:szCs w:val="30"/>
          <w:lang w:val="en-US" w:eastAsia="zh-CN"/>
        </w:rPr>
        <w:t>售后服务</w:t>
      </w:r>
      <w:r>
        <w:rPr>
          <w:rFonts w:hint="eastAsia" w:ascii="宋体" w:hAnsi="宋体" w:eastAsia="宋体" w:cs="宋体"/>
          <w:b/>
          <w:sz w:val="30"/>
          <w:szCs w:val="30"/>
        </w:rPr>
        <w:t>要求</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提供一年免费质保期</w:t>
      </w:r>
      <w:r>
        <w:rPr>
          <w:rFonts w:hint="eastAsia" w:ascii="仿宋" w:hAnsi="仿宋" w:eastAsia="仿宋" w:cs="仿宋"/>
          <w:bCs/>
          <w:color w:val="000000"/>
          <w:sz w:val="30"/>
          <w:szCs w:val="30"/>
          <w:lang w:val="en-US" w:eastAsia="zh-CN"/>
        </w:rPr>
        <w:t>和</w:t>
      </w:r>
      <w:r>
        <w:rPr>
          <w:rFonts w:hint="eastAsia" w:ascii="仿宋" w:hAnsi="仿宋" w:eastAsia="仿宋" w:cs="仿宋"/>
          <w:bCs/>
          <w:color w:val="000000"/>
          <w:sz w:val="30"/>
          <w:szCs w:val="30"/>
        </w:rPr>
        <w:t>质保期</w:t>
      </w:r>
      <w:r>
        <w:rPr>
          <w:rFonts w:hint="eastAsia" w:ascii="仿宋" w:hAnsi="仿宋" w:eastAsia="仿宋" w:cs="仿宋"/>
          <w:bCs/>
          <w:color w:val="000000"/>
          <w:sz w:val="30"/>
          <w:szCs w:val="30"/>
          <w:lang w:val="en-US" w:eastAsia="zh-CN"/>
        </w:rPr>
        <w:t>外有偿维护维修</w:t>
      </w:r>
      <w:r>
        <w:rPr>
          <w:rFonts w:hint="eastAsia" w:ascii="仿宋" w:hAnsi="仿宋" w:eastAsia="仿宋" w:cs="仿宋"/>
          <w:bCs/>
          <w:color w:val="000000"/>
          <w:sz w:val="30"/>
          <w:szCs w:val="30"/>
        </w:rPr>
        <w:t>，在收到采购单位服务函电后，0.5小时内作出响应，</w:t>
      </w: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小时内作出解决方案，如远程支持无法解决，</w:t>
      </w:r>
      <w:r>
        <w:rPr>
          <w:rFonts w:hint="eastAsia" w:ascii="仿宋" w:hAnsi="仿宋" w:eastAsia="仿宋" w:cs="仿宋"/>
          <w:bCs/>
          <w:color w:val="000000"/>
          <w:sz w:val="30"/>
          <w:szCs w:val="30"/>
          <w:lang w:val="en-US" w:eastAsia="zh-CN"/>
        </w:rPr>
        <w:t>6</w:t>
      </w:r>
      <w:r>
        <w:rPr>
          <w:rFonts w:hint="eastAsia" w:ascii="仿宋" w:hAnsi="仿宋" w:eastAsia="仿宋" w:cs="仿宋"/>
          <w:b w:val="0"/>
          <w:bCs/>
          <w:color w:val="000000"/>
          <w:sz w:val="30"/>
          <w:szCs w:val="30"/>
        </w:rPr>
        <w:t>小时</w:t>
      </w:r>
      <w:r>
        <w:rPr>
          <w:rFonts w:hint="eastAsia" w:ascii="仿宋" w:hAnsi="仿宋" w:eastAsia="仿宋" w:cs="仿宋"/>
          <w:bCs/>
          <w:color w:val="000000"/>
          <w:sz w:val="30"/>
          <w:szCs w:val="30"/>
        </w:rPr>
        <w:t>内到达现场，</w:t>
      </w:r>
      <w:r>
        <w:rPr>
          <w:rFonts w:hint="eastAsia" w:ascii="仿宋" w:hAnsi="仿宋" w:eastAsia="仿宋" w:cs="仿宋"/>
          <w:bCs/>
          <w:color w:val="000000"/>
          <w:sz w:val="30"/>
          <w:szCs w:val="30"/>
          <w:lang w:val="en-US" w:eastAsia="zh-CN"/>
        </w:rPr>
        <w:t>24</w:t>
      </w:r>
      <w:r>
        <w:rPr>
          <w:rFonts w:hint="eastAsia" w:ascii="仿宋" w:hAnsi="仿宋" w:eastAsia="仿宋" w:cs="仿宋"/>
          <w:bCs/>
          <w:color w:val="000000"/>
          <w:sz w:val="30"/>
          <w:szCs w:val="30"/>
        </w:rPr>
        <w:t>小时内排除并修复故障。</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售后服务范围：1.设备</w:t>
      </w:r>
      <w:r>
        <w:rPr>
          <w:rFonts w:hint="eastAsia" w:ascii="仿宋" w:hAnsi="仿宋" w:eastAsia="仿宋" w:cs="仿宋"/>
          <w:bCs/>
          <w:color w:val="000000"/>
          <w:sz w:val="30"/>
          <w:szCs w:val="30"/>
          <w:lang w:eastAsia="zh-CN"/>
        </w:rPr>
        <w:t>的</w:t>
      </w:r>
      <w:r>
        <w:rPr>
          <w:rFonts w:hint="eastAsia" w:ascii="仿宋" w:hAnsi="仿宋" w:eastAsia="仿宋" w:cs="仿宋"/>
          <w:bCs/>
          <w:color w:val="000000"/>
          <w:sz w:val="30"/>
          <w:szCs w:val="30"/>
          <w:lang w:val="en-US" w:eastAsia="zh-CN"/>
        </w:rPr>
        <w:t>运输</w:t>
      </w:r>
      <w:r>
        <w:rPr>
          <w:rFonts w:hint="eastAsia" w:ascii="仿宋" w:hAnsi="仿宋" w:eastAsia="仿宋" w:cs="仿宋"/>
          <w:bCs/>
          <w:color w:val="000000"/>
          <w:sz w:val="30"/>
          <w:szCs w:val="30"/>
        </w:rPr>
        <w:t>、安装、调试；2.使用人员的培训；3.设备巡检、</w:t>
      </w:r>
      <w:r>
        <w:rPr>
          <w:rFonts w:hint="eastAsia" w:ascii="仿宋" w:hAnsi="仿宋" w:eastAsia="仿宋" w:cs="仿宋"/>
          <w:bCs/>
          <w:color w:val="000000"/>
          <w:sz w:val="30"/>
          <w:szCs w:val="30"/>
          <w:lang w:val="en-US" w:eastAsia="zh-CN"/>
        </w:rPr>
        <w:t>维护</w:t>
      </w:r>
      <w:r>
        <w:rPr>
          <w:rFonts w:hint="eastAsia" w:ascii="仿宋" w:hAnsi="仿宋" w:eastAsia="仿宋" w:cs="仿宋"/>
          <w:bCs/>
          <w:color w:val="000000"/>
          <w:sz w:val="30"/>
          <w:szCs w:val="30"/>
        </w:rPr>
        <w:t>；4.软件</w:t>
      </w:r>
      <w:r>
        <w:rPr>
          <w:rFonts w:hint="eastAsia" w:ascii="仿宋" w:hAnsi="仿宋" w:eastAsia="仿宋" w:cs="仿宋"/>
          <w:bCs/>
          <w:color w:val="000000"/>
          <w:sz w:val="30"/>
          <w:szCs w:val="30"/>
          <w:lang w:val="en-US" w:eastAsia="zh-CN"/>
        </w:rPr>
        <w:t>维护</w:t>
      </w:r>
      <w:r>
        <w:rPr>
          <w:rFonts w:hint="eastAsia" w:ascii="仿宋" w:hAnsi="仿宋" w:eastAsia="仿宋" w:cs="仿宋"/>
          <w:bCs/>
          <w:color w:val="000000"/>
          <w:sz w:val="30"/>
          <w:szCs w:val="30"/>
        </w:rPr>
        <w:t>。</w:t>
      </w:r>
      <w:bookmarkEnd w:id="3"/>
      <w:bookmarkEnd w:id="4"/>
    </w:p>
    <w:p>
      <w:pPr>
        <w:numPr>
          <w:ilvl w:val="0"/>
          <w:numId w:val="0"/>
        </w:numPr>
        <w:spacing w:line="360" w:lineRule="auto"/>
        <w:outlineLvl w:val="1"/>
        <w:rPr>
          <w:rFonts w:hint="eastAsia" w:ascii="宋体" w:hAnsi="宋体" w:cs="宋体"/>
          <w:b/>
          <w:sz w:val="30"/>
          <w:szCs w:val="30"/>
          <w:lang w:val="en-US" w:eastAsia="zh-CN"/>
        </w:rPr>
      </w:pPr>
    </w:p>
    <w:p>
      <w:pPr>
        <w:numPr>
          <w:ilvl w:val="0"/>
          <w:numId w:val="0"/>
        </w:numPr>
        <w:spacing w:line="360" w:lineRule="auto"/>
        <w:outlineLvl w:val="1"/>
        <w:rPr>
          <w:rFonts w:hint="eastAsia" w:ascii="宋体" w:hAnsi="宋体" w:eastAsia="宋体" w:cs="宋体"/>
          <w:b/>
          <w:sz w:val="30"/>
          <w:szCs w:val="30"/>
          <w:lang w:val="en-US" w:eastAsia="zh-CN"/>
        </w:rPr>
      </w:pPr>
      <w:r>
        <w:rPr>
          <w:rFonts w:hint="eastAsia" w:ascii="宋体" w:hAnsi="宋体" w:cs="宋体"/>
          <w:b/>
          <w:sz w:val="30"/>
          <w:szCs w:val="30"/>
          <w:lang w:val="en-US" w:eastAsia="zh-CN"/>
        </w:rPr>
        <w:t>四</w:t>
      </w:r>
      <w:r>
        <w:rPr>
          <w:rFonts w:hint="eastAsia" w:ascii="宋体" w:hAnsi="宋体" w:eastAsia="宋体" w:cs="宋体"/>
          <w:b/>
          <w:sz w:val="30"/>
          <w:szCs w:val="30"/>
        </w:rPr>
        <w:t>、</w:t>
      </w:r>
      <w:r>
        <w:rPr>
          <w:rFonts w:hint="eastAsia" w:ascii="宋体" w:hAnsi="宋体" w:eastAsia="宋体" w:cs="宋体"/>
          <w:b/>
          <w:sz w:val="30"/>
          <w:szCs w:val="30"/>
          <w:lang w:val="en-US" w:eastAsia="zh-CN"/>
        </w:rPr>
        <w:t>配置清单</w:t>
      </w:r>
      <w:r>
        <w:rPr>
          <w:rFonts w:hint="eastAsia" w:ascii="宋体" w:hAnsi="宋体" w:cs="宋体"/>
          <w:b/>
          <w:sz w:val="30"/>
          <w:szCs w:val="30"/>
          <w:lang w:val="en-US" w:eastAsia="zh-CN"/>
        </w:rPr>
        <w:t>及</w:t>
      </w:r>
      <w:r>
        <w:rPr>
          <w:rFonts w:hint="eastAsia" w:ascii="宋体" w:hAnsi="宋体" w:eastAsia="宋体" w:cs="宋体"/>
          <w:b/>
          <w:sz w:val="30"/>
          <w:szCs w:val="30"/>
          <w:lang w:val="en-US" w:eastAsia="zh-CN"/>
        </w:rPr>
        <w:t>分项报价</w:t>
      </w:r>
    </w:p>
    <w:tbl>
      <w:tblPr>
        <w:tblStyle w:val="9"/>
        <w:tblpPr w:leftFromText="180" w:rightFromText="180" w:vertAnchor="page" w:horzAnchor="page" w:tblpX="1077" w:tblpY="2010"/>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90"/>
        <w:gridCol w:w="1540"/>
        <w:gridCol w:w="720"/>
        <w:gridCol w:w="750"/>
        <w:gridCol w:w="122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0" w:type="dxa"/>
            <w:vAlign w:val="center"/>
          </w:tcPr>
          <w:p>
            <w:pPr>
              <w:jc w:val="center"/>
              <w:rPr>
                <w:rFonts w:hint="eastAsia"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类别</w:t>
            </w:r>
          </w:p>
        </w:tc>
        <w:tc>
          <w:tcPr>
            <w:tcW w:w="2390" w:type="dxa"/>
            <w:vAlign w:val="center"/>
          </w:tcPr>
          <w:p>
            <w:pPr>
              <w:jc w:val="center"/>
              <w:rPr>
                <w:rFonts w:hint="eastAsia" w:ascii="新宋体" w:hAnsi="新宋体" w:eastAsia="新宋体" w:cs="新宋体"/>
                <w:b/>
                <w:bCs w:val="0"/>
                <w:snapToGrid w:val="0"/>
                <w:color w:val="000000"/>
                <w:sz w:val="24"/>
                <w:szCs w:val="24"/>
                <w:lang w:val="en-US" w:eastAsia="zh-CN" w:bidi="zh-CN"/>
              </w:rPr>
            </w:pPr>
            <w:r>
              <w:rPr>
                <w:rFonts w:hint="eastAsia" w:ascii="新宋体" w:hAnsi="新宋体" w:eastAsia="新宋体" w:cs="新宋体"/>
                <w:b/>
                <w:bCs w:val="0"/>
                <w:sz w:val="24"/>
                <w:szCs w:val="24"/>
                <w:lang w:bidi="zh-CN"/>
              </w:rPr>
              <w:t>产品名称</w:t>
            </w:r>
          </w:p>
        </w:tc>
        <w:tc>
          <w:tcPr>
            <w:tcW w:w="1540" w:type="dxa"/>
            <w:vAlign w:val="center"/>
          </w:tcPr>
          <w:p>
            <w:pPr>
              <w:jc w:val="center"/>
              <w:rPr>
                <w:rFonts w:hint="eastAsia" w:ascii="新宋体" w:hAnsi="新宋体" w:eastAsia="新宋体" w:cs="新宋体"/>
                <w:b/>
                <w:bCs w:val="0"/>
                <w:snapToGrid w:val="0"/>
                <w:color w:val="000000"/>
                <w:kern w:val="2"/>
                <w:sz w:val="24"/>
                <w:szCs w:val="24"/>
                <w:lang w:val="en-US" w:eastAsia="zh-CN" w:bidi="zh-CN"/>
              </w:rPr>
            </w:pPr>
            <w:r>
              <w:rPr>
                <w:rFonts w:hint="eastAsia" w:ascii="新宋体" w:hAnsi="新宋体" w:eastAsia="新宋体" w:cs="新宋体"/>
                <w:b/>
                <w:bCs w:val="0"/>
                <w:sz w:val="24"/>
                <w:szCs w:val="24"/>
                <w:lang w:bidi="zh-CN"/>
              </w:rPr>
              <w:t>规格</w:t>
            </w:r>
            <w:r>
              <w:rPr>
                <w:rFonts w:hint="eastAsia" w:ascii="新宋体" w:hAnsi="新宋体" w:eastAsia="新宋体" w:cs="新宋体"/>
                <w:b/>
                <w:bCs w:val="0"/>
                <w:sz w:val="24"/>
                <w:szCs w:val="24"/>
                <w:lang w:val="en-US" w:bidi="zh-CN"/>
              </w:rPr>
              <w:t>/</w:t>
            </w:r>
            <w:r>
              <w:rPr>
                <w:rFonts w:hint="eastAsia" w:ascii="新宋体" w:hAnsi="新宋体" w:eastAsia="新宋体" w:cs="新宋体"/>
                <w:b/>
                <w:bCs w:val="0"/>
                <w:sz w:val="24"/>
                <w:szCs w:val="24"/>
                <w:lang w:bidi="zh-CN"/>
              </w:rPr>
              <w:t>型号</w:t>
            </w:r>
          </w:p>
        </w:tc>
        <w:tc>
          <w:tcPr>
            <w:tcW w:w="720" w:type="dxa"/>
            <w:vAlign w:val="center"/>
          </w:tcPr>
          <w:p>
            <w:pPr>
              <w:jc w:val="center"/>
              <w:rPr>
                <w:rFonts w:hint="eastAsia" w:ascii="新宋体" w:hAnsi="新宋体" w:eastAsia="新宋体" w:cs="新宋体"/>
                <w:b/>
                <w:bCs w:val="0"/>
                <w:snapToGrid w:val="0"/>
                <w:color w:val="000000"/>
                <w:sz w:val="24"/>
                <w:szCs w:val="24"/>
                <w:lang w:val="en-US" w:eastAsia="zh-CN" w:bidi="zh-CN"/>
              </w:rPr>
            </w:pPr>
            <w:r>
              <w:rPr>
                <w:rFonts w:hint="eastAsia" w:ascii="新宋体" w:hAnsi="新宋体" w:eastAsia="新宋体" w:cs="新宋体"/>
                <w:b/>
                <w:bCs w:val="0"/>
                <w:sz w:val="24"/>
                <w:szCs w:val="24"/>
                <w:lang w:bidi="zh-CN"/>
              </w:rPr>
              <w:t>数量</w:t>
            </w:r>
          </w:p>
        </w:tc>
        <w:tc>
          <w:tcPr>
            <w:tcW w:w="750" w:type="dxa"/>
            <w:vAlign w:val="center"/>
          </w:tcPr>
          <w:p>
            <w:pPr>
              <w:jc w:val="center"/>
              <w:rPr>
                <w:rFonts w:hint="default"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单位</w:t>
            </w:r>
          </w:p>
        </w:tc>
        <w:tc>
          <w:tcPr>
            <w:tcW w:w="1220" w:type="dxa"/>
            <w:vAlign w:val="center"/>
          </w:tcPr>
          <w:p>
            <w:pPr>
              <w:jc w:val="center"/>
              <w:rPr>
                <w:rFonts w:hint="default" w:ascii="新宋体" w:hAnsi="新宋体" w:eastAsia="新宋体" w:cs="新宋体"/>
                <w:b/>
                <w:bCs w:val="0"/>
                <w:sz w:val="24"/>
                <w:szCs w:val="24"/>
                <w:lang w:val="en-US" w:bidi="zh-CN"/>
              </w:rPr>
            </w:pPr>
            <w:r>
              <w:rPr>
                <w:rFonts w:hint="eastAsia" w:ascii="新宋体" w:hAnsi="新宋体" w:eastAsia="新宋体" w:cs="新宋体"/>
                <w:b/>
                <w:bCs w:val="0"/>
                <w:sz w:val="24"/>
                <w:szCs w:val="24"/>
                <w:lang w:val="en-US" w:bidi="zh-CN"/>
              </w:rPr>
              <w:t>金额（元）</w:t>
            </w:r>
          </w:p>
        </w:tc>
        <w:tc>
          <w:tcPr>
            <w:tcW w:w="2600" w:type="dxa"/>
            <w:vAlign w:val="center"/>
          </w:tcPr>
          <w:p>
            <w:pPr>
              <w:jc w:val="center"/>
              <w:rPr>
                <w:rFonts w:hint="eastAsia" w:ascii="新宋体" w:hAnsi="新宋体" w:eastAsia="新宋体" w:cs="新宋体"/>
                <w:b/>
                <w:bCs w:val="0"/>
                <w:snapToGrid w:val="0"/>
                <w:color w:val="000000"/>
                <w:sz w:val="24"/>
                <w:szCs w:val="24"/>
                <w:lang w:val="en-US" w:eastAsia="zh-CN" w:bidi="zh-CN"/>
              </w:rPr>
            </w:pPr>
            <w:r>
              <w:rPr>
                <w:rFonts w:hint="eastAsia" w:ascii="新宋体" w:hAnsi="新宋体" w:eastAsia="新宋体" w:cs="新宋体"/>
                <w:b/>
                <w:bCs w:val="0"/>
                <w:snapToGrid w:val="0"/>
                <w:color w:val="000000"/>
                <w:sz w:val="24"/>
                <w:szCs w:val="24"/>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0" w:type="dxa"/>
            <w:vMerge w:val="restart"/>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数</w:t>
            </w:r>
          </w:p>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字</w:t>
            </w:r>
          </w:p>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化</w:t>
            </w:r>
          </w:p>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标</w:t>
            </w:r>
          </w:p>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签</w:t>
            </w:r>
          </w:p>
          <w:p>
            <w:pPr>
              <w:pStyle w:val="18"/>
              <w:spacing w:line="240" w:lineRule="auto"/>
              <w:jc w:val="center"/>
              <w:outlineLvl w:val="9"/>
              <w:rPr>
                <w:rFonts w:hint="eastAsia" w:ascii="新宋体" w:hAnsi="新宋体" w:eastAsia="新宋体" w:cs="新宋体"/>
                <w:b/>
                <w:bCs w:val="0"/>
                <w:sz w:val="24"/>
                <w:szCs w:val="24"/>
                <w:lang w:val="en-US" w:eastAsia="zh-CN"/>
              </w:rPr>
            </w:pPr>
          </w:p>
        </w:tc>
        <w:tc>
          <w:tcPr>
            <w:tcW w:w="239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rPr>
              <w:t>危险废物</w:t>
            </w:r>
            <w:r>
              <w:rPr>
                <w:rFonts w:hint="eastAsia" w:ascii="新宋体" w:hAnsi="新宋体" w:eastAsia="新宋体" w:cs="新宋体"/>
                <w:b w:val="0"/>
                <w:bCs/>
                <w:sz w:val="24"/>
                <w:szCs w:val="24"/>
                <w:lang w:val="en-US" w:eastAsia="zh-CN"/>
              </w:rPr>
              <w:t>物联网系统</w:t>
            </w:r>
          </w:p>
        </w:tc>
        <w:tc>
          <w:tcPr>
            <w:tcW w:w="1540" w:type="dxa"/>
            <w:vAlign w:val="center"/>
          </w:tcPr>
          <w:p>
            <w:pPr>
              <w:pStyle w:val="18"/>
              <w:spacing w:line="240" w:lineRule="auto"/>
              <w:jc w:val="center"/>
              <w:outlineLvl w:val="9"/>
              <w:rPr>
                <w:rFonts w:hint="eastAsia" w:ascii="新宋体" w:hAnsi="新宋体" w:eastAsia="新宋体" w:cs="新宋体"/>
                <w:b w:val="0"/>
                <w:bCs/>
                <w:color w:val="000000" w:themeColor="text1"/>
                <w:kern w:val="2"/>
                <w:sz w:val="24"/>
                <w:szCs w:val="24"/>
                <w:lang w:val="en-US" w:eastAsia="zh-CN" w:bidi="zh-CN"/>
                <w14:textFill>
                  <w14:solidFill>
                    <w14:schemeClr w14:val="tx1"/>
                  </w14:solidFill>
                </w14:textFill>
              </w:rPr>
            </w:pPr>
            <w:r>
              <w:rPr>
                <w:rFonts w:hint="eastAsia" w:ascii="新宋体" w:hAnsi="新宋体" w:eastAsia="新宋体" w:cs="新宋体"/>
                <w:b w:val="0"/>
                <w:bCs/>
                <w:color w:val="000000" w:themeColor="text1"/>
                <w:sz w:val="24"/>
                <w:szCs w:val="24"/>
                <w:lang w:val="en-US" w:eastAsia="zh-CN"/>
                <w14:textFill>
                  <w14:solidFill>
                    <w14:schemeClr w14:val="tx1"/>
                  </w14:solidFill>
                </w14:textFill>
              </w:rPr>
              <w:t>JA-V1.0</w:t>
            </w:r>
          </w:p>
        </w:tc>
        <w:tc>
          <w:tcPr>
            <w:tcW w:w="72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新宋体" w:hAnsi="新宋体" w:eastAsia="新宋体" w:cs="新宋体"/>
                <w:b w:val="0"/>
                <w:bCs/>
                <w:sz w:val="24"/>
                <w:szCs w:val="24"/>
                <w:lang w:val="en-US"/>
              </w:rPr>
            </w:pPr>
            <w:r>
              <w:rPr>
                <w:rFonts w:hint="eastAsia" w:ascii="新宋体" w:hAnsi="新宋体" w:eastAsia="新宋体" w:cs="新宋体"/>
                <w:b w:val="0"/>
                <w:bCs/>
                <w:sz w:val="24"/>
                <w:szCs w:val="24"/>
                <w:lang w:val="en-US"/>
              </w:rPr>
              <w:t>1</w:t>
            </w:r>
          </w:p>
        </w:tc>
        <w:tc>
          <w:tcPr>
            <w:tcW w:w="75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套</w:t>
            </w:r>
          </w:p>
        </w:tc>
        <w:tc>
          <w:tcPr>
            <w:tcW w:w="1220"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default" w:ascii="新宋体" w:hAnsi="新宋体" w:eastAsia="新宋体" w:cs="新宋体"/>
                <w:b w:val="0"/>
                <w:bCs/>
                <w:sz w:val="24"/>
                <w:szCs w:val="24"/>
                <w:lang w:val="en-US" w:eastAsia="zh-CN"/>
              </w:rPr>
            </w:pPr>
          </w:p>
        </w:tc>
        <w:tc>
          <w:tcPr>
            <w:tcW w:w="2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hint="default" w:ascii="新宋体" w:hAnsi="新宋体" w:eastAsia="新宋体" w:cs="新宋体"/>
                <w:b/>
                <w:bCs w:val="0"/>
                <w:sz w:val="24"/>
                <w:szCs w:val="24"/>
                <w:lang w:val="en-US" w:bidi="zh-CN"/>
              </w:rPr>
            </w:pPr>
            <w:r>
              <w:rPr>
                <w:rFonts w:hint="eastAsia" w:ascii="新宋体" w:hAnsi="新宋体" w:eastAsia="新宋体" w:cstheme="minorBidi"/>
                <w:kern w:val="2"/>
                <w:sz w:val="21"/>
                <w:szCs w:val="21"/>
                <w:lang w:val="en-US" w:eastAsia="zh-CN" w:bidi="ar-SA"/>
              </w:rPr>
              <w:t>对接“无废四川系统”。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0" w:type="dxa"/>
            <w:vMerge w:val="continue"/>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p>
        </w:tc>
        <w:tc>
          <w:tcPr>
            <w:tcW w:w="239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智能移动终端机</w:t>
            </w:r>
          </w:p>
        </w:tc>
        <w:tc>
          <w:tcPr>
            <w:tcW w:w="1540" w:type="dxa"/>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5502M</w:t>
            </w:r>
          </w:p>
        </w:tc>
        <w:tc>
          <w:tcPr>
            <w:tcW w:w="7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75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台</w:t>
            </w:r>
          </w:p>
        </w:tc>
        <w:tc>
          <w:tcPr>
            <w:tcW w:w="12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c>
          <w:tcPr>
            <w:tcW w:w="260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0" w:type="dxa"/>
            <w:vMerge w:val="continue"/>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p>
        </w:tc>
        <w:tc>
          <w:tcPr>
            <w:tcW w:w="2390" w:type="dxa"/>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条码打印机</w:t>
            </w:r>
          </w:p>
        </w:tc>
        <w:tc>
          <w:tcPr>
            <w:tcW w:w="154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M421</w:t>
            </w:r>
          </w:p>
        </w:tc>
        <w:tc>
          <w:tcPr>
            <w:tcW w:w="7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75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台</w:t>
            </w:r>
          </w:p>
        </w:tc>
        <w:tc>
          <w:tcPr>
            <w:tcW w:w="12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c>
          <w:tcPr>
            <w:tcW w:w="260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 w:type="dxa"/>
            <w:vMerge w:val="continue"/>
            <w:vAlign w:val="center"/>
          </w:tcPr>
          <w:p>
            <w:pPr>
              <w:pStyle w:val="18"/>
              <w:spacing w:line="240" w:lineRule="auto"/>
              <w:jc w:val="center"/>
              <w:outlineLvl w:val="9"/>
              <w:rPr>
                <w:rFonts w:hint="eastAsia" w:ascii="新宋体" w:hAnsi="新宋体" w:eastAsia="新宋体" w:cs="新宋体"/>
                <w:b w:val="0"/>
                <w:bCs/>
                <w:sz w:val="24"/>
                <w:szCs w:val="24"/>
                <w:lang w:val="en-US" w:eastAsia="zh-CN"/>
              </w:rPr>
            </w:pPr>
          </w:p>
        </w:tc>
        <w:tc>
          <w:tcPr>
            <w:tcW w:w="239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危险废物条码标签</w:t>
            </w:r>
          </w:p>
        </w:tc>
        <w:tc>
          <w:tcPr>
            <w:tcW w:w="154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100mm*100mm</w:t>
            </w:r>
          </w:p>
        </w:tc>
        <w:tc>
          <w:tcPr>
            <w:tcW w:w="7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500</w:t>
            </w:r>
          </w:p>
        </w:tc>
        <w:tc>
          <w:tcPr>
            <w:tcW w:w="75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张</w:t>
            </w:r>
          </w:p>
        </w:tc>
        <w:tc>
          <w:tcPr>
            <w:tcW w:w="122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c>
          <w:tcPr>
            <w:tcW w:w="2600" w:type="dxa"/>
            <w:vAlign w:val="center"/>
          </w:tcPr>
          <w:p>
            <w:pPr>
              <w:pStyle w:val="18"/>
              <w:spacing w:line="240" w:lineRule="auto"/>
              <w:jc w:val="center"/>
              <w:outlineLvl w:val="9"/>
              <w:rPr>
                <w:rFonts w:hint="default" w:ascii="新宋体" w:hAnsi="新宋体" w:eastAsia="新宋体" w:cs="新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0" w:type="dxa"/>
            <w:vMerge w:val="restart"/>
            <w:vAlign w:val="center"/>
          </w:tcPr>
          <w:p>
            <w:pPr>
              <w:pStyle w:val="18"/>
              <w:jc w:val="center"/>
              <w:outlineLvl w:val="9"/>
              <w:rPr>
                <w:rFonts w:hint="eastAsia" w:ascii="新宋体" w:hAnsi="新宋体" w:eastAsia="新宋体" w:cs="新宋体"/>
                <w:b/>
                <w:bCs w:val="0"/>
                <w:sz w:val="24"/>
                <w:szCs w:val="24"/>
                <w:lang w:val="en-US"/>
              </w:rPr>
            </w:pPr>
            <w:r>
              <w:rPr>
                <w:rFonts w:hint="eastAsia" w:ascii="新宋体" w:hAnsi="新宋体" w:eastAsia="新宋体" w:cs="新宋体"/>
                <w:b w:val="0"/>
                <w:bCs/>
                <w:sz w:val="24"/>
                <w:szCs w:val="24"/>
                <w:lang w:val="en-US" w:eastAsia="zh-CN"/>
              </w:rPr>
              <w:t>其它</w:t>
            </w:r>
          </w:p>
        </w:tc>
        <w:tc>
          <w:tcPr>
            <w:tcW w:w="2390" w:type="dxa"/>
            <w:vAlign w:val="center"/>
          </w:tcPr>
          <w:p>
            <w:pPr>
              <w:pStyle w:val="18"/>
              <w:jc w:val="center"/>
              <w:outlineLvl w:val="9"/>
              <w:rPr>
                <w:rFonts w:hint="default" w:ascii="新宋体" w:hAnsi="新宋体" w:eastAsia="新宋体"/>
                <w:sz w:val="24"/>
                <w:szCs w:val="24"/>
                <w:lang w:val="en-US" w:eastAsia="zh-CN"/>
              </w:rPr>
            </w:pPr>
            <w:r>
              <w:rPr>
                <w:rFonts w:hint="eastAsia" w:ascii="新宋体" w:hAnsi="新宋体" w:eastAsia="新宋体"/>
                <w:sz w:val="24"/>
                <w:szCs w:val="24"/>
                <w:lang w:val="en-US" w:eastAsia="zh-CN"/>
              </w:rPr>
              <w:t>平台对接</w:t>
            </w:r>
          </w:p>
        </w:tc>
        <w:tc>
          <w:tcPr>
            <w:tcW w:w="1540" w:type="dxa"/>
            <w:vAlign w:val="center"/>
          </w:tcPr>
          <w:p>
            <w:pPr>
              <w:pStyle w:val="18"/>
              <w:jc w:val="center"/>
              <w:outlineLvl w:val="9"/>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w:t>
            </w:r>
          </w:p>
        </w:tc>
        <w:tc>
          <w:tcPr>
            <w:tcW w:w="72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75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项</w:t>
            </w:r>
          </w:p>
        </w:tc>
        <w:tc>
          <w:tcPr>
            <w:tcW w:w="1220" w:type="dxa"/>
            <w:vAlign w:val="center"/>
          </w:tcPr>
          <w:p>
            <w:pPr>
              <w:pStyle w:val="18"/>
              <w:jc w:val="center"/>
              <w:outlineLvl w:val="9"/>
              <w:rPr>
                <w:rFonts w:hint="default" w:ascii="新宋体" w:hAnsi="新宋体" w:eastAsia="新宋体" w:cs="新宋体"/>
                <w:b w:val="0"/>
                <w:bCs/>
                <w:sz w:val="24"/>
                <w:szCs w:val="24"/>
                <w:lang w:val="en-US" w:eastAsia="zh-CN"/>
              </w:rPr>
            </w:pPr>
          </w:p>
        </w:tc>
        <w:tc>
          <w:tcPr>
            <w:tcW w:w="2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hint="default" w:ascii="新宋体" w:hAnsi="新宋体" w:eastAsia="新宋体" w:cstheme="minorBidi"/>
                <w:kern w:val="2"/>
                <w:sz w:val="21"/>
                <w:szCs w:val="21"/>
                <w:lang w:val="en-US" w:eastAsia="zh-CN" w:bidi="ar-SA"/>
              </w:rPr>
            </w:pPr>
            <w:r>
              <w:rPr>
                <w:rFonts w:hint="eastAsia" w:ascii="新宋体" w:hAnsi="新宋体" w:eastAsia="新宋体" w:cstheme="minorBidi"/>
                <w:kern w:val="2"/>
                <w:sz w:val="21"/>
                <w:szCs w:val="21"/>
                <w:lang w:val="en-US" w:eastAsia="zh-CN" w:bidi="ar-SA"/>
              </w:rPr>
              <w:t>“四川智慧卫监在线监管平台”对接“无废四川”系统。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0" w:type="dxa"/>
            <w:vMerge w:val="continue"/>
            <w:vAlign w:val="center"/>
          </w:tcPr>
          <w:p>
            <w:pPr>
              <w:pStyle w:val="18"/>
              <w:jc w:val="center"/>
              <w:outlineLvl w:val="9"/>
              <w:rPr>
                <w:rFonts w:hint="eastAsia" w:ascii="新宋体" w:hAnsi="新宋体" w:eastAsia="新宋体" w:cs="新宋体"/>
                <w:b/>
                <w:bCs w:val="0"/>
                <w:sz w:val="24"/>
                <w:szCs w:val="24"/>
                <w:lang w:val="en-US"/>
              </w:rPr>
            </w:pPr>
          </w:p>
        </w:tc>
        <w:tc>
          <w:tcPr>
            <w:tcW w:w="2390" w:type="dxa"/>
            <w:vAlign w:val="center"/>
          </w:tcPr>
          <w:p>
            <w:pPr>
              <w:pStyle w:val="18"/>
              <w:jc w:val="center"/>
              <w:outlineLvl w:val="9"/>
              <w:rPr>
                <w:rFonts w:hint="eastAsia" w:ascii="新宋体" w:hAnsi="新宋体" w:eastAsia="新宋体" w:cs="新宋体"/>
                <w:b w:val="0"/>
                <w:bCs/>
                <w:sz w:val="24"/>
                <w:szCs w:val="24"/>
                <w:lang w:val="en-US"/>
              </w:rPr>
            </w:pPr>
            <w:r>
              <w:rPr>
                <w:rFonts w:hint="eastAsia" w:ascii="新宋体" w:hAnsi="新宋体" w:eastAsia="新宋体"/>
                <w:sz w:val="24"/>
                <w:szCs w:val="24"/>
              </w:rPr>
              <w:t>物联网流量卡</w:t>
            </w:r>
          </w:p>
        </w:tc>
        <w:tc>
          <w:tcPr>
            <w:tcW w:w="154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sz w:val="24"/>
                <w:szCs w:val="24"/>
                <w:lang w:val="en-US" w:eastAsia="zh-CN"/>
              </w:rPr>
              <w:t>/</w:t>
            </w:r>
          </w:p>
        </w:tc>
        <w:tc>
          <w:tcPr>
            <w:tcW w:w="72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75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张</w:t>
            </w:r>
          </w:p>
        </w:tc>
        <w:tc>
          <w:tcPr>
            <w:tcW w:w="1220" w:type="dxa"/>
            <w:vAlign w:val="center"/>
          </w:tcPr>
          <w:p>
            <w:pPr>
              <w:pStyle w:val="18"/>
              <w:jc w:val="center"/>
              <w:outlineLvl w:val="9"/>
              <w:rPr>
                <w:rFonts w:hint="default" w:ascii="新宋体" w:hAnsi="新宋体" w:eastAsia="新宋体" w:cs="新宋体"/>
                <w:b w:val="0"/>
                <w:bCs/>
                <w:sz w:val="24"/>
                <w:szCs w:val="24"/>
                <w:lang w:val="en-US" w:eastAsia="zh-CN"/>
              </w:rPr>
            </w:pPr>
          </w:p>
        </w:tc>
        <w:tc>
          <w:tcPr>
            <w:tcW w:w="2600" w:type="dxa"/>
            <w:vAlign w:val="center"/>
          </w:tcPr>
          <w:p>
            <w:pPr>
              <w:spacing w:line="480" w:lineRule="auto"/>
              <w:outlineLvl w:val="9"/>
              <w:rPr>
                <w:rFonts w:hint="eastAsia" w:ascii="新宋体" w:hAnsi="新宋体" w:eastAsia="新宋体" w:cs="新宋体"/>
                <w:b/>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50" w:type="dxa"/>
            <w:vMerge w:val="continue"/>
            <w:vAlign w:val="center"/>
          </w:tcPr>
          <w:p>
            <w:pPr>
              <w:pStyle w:val="18"/>
              <w:jc w:val="center"/>
              <w:outlineLvl w:val="9"/>
              <w:rPr>
                <w:rFonts w:hint="eastAsia" w:ascii="新宋体" w:hAnsi="新宋体" w:eastAsia="新宋体" w:cs="新宋体"/>
                <w:b/>
                <w:bCs w:val="0"/>
                <w:sz w:val="24"/>
                <w:szCs w:val="24"/>
                <w:lang w:val="en-US"/>
              </w:rPr>
            </w:pPr>
          </w:p>
        </w:tc>
        <w:tc>
          <w:tcPr>
            <w:tcW w:w="2390" w:type="dxa"/>
            <w:vAlign w:val="center"/>
          </w:tcPr>
          <w:p>
            <w:pPr>
              <w:pStyle w:val="18"/>
              <w:jc w:val="center"/>
              <w:outlineLvl w:val="9"/>
              <w:rPr>
                <w:rFonts w:hint="default" w:ascii="新宋体" w:hAnsi="新宋体" w:eastAsia="新宋体" w:cs="新宋体"/>
                <w:b w:val="0"/>
                <w:bCs/>
                <w:sz w:val="24"/>
                <w:szCs w:val="24"/>
                <w:lang w:val="en-US"/>
              </w:rPr>
            </w:pPr>
            <w:r>
              <w:rPr>
                <w:rFonts w:hint="eastAsia" w:ascii="新宋体" w:hAnsi="新宋体" w:eastAsia="新宋体"/>
                <w:sz w:val="24"/>
                <w:szCs w:val="24"/>
                <w:lang w:val="en-US" w:eastAsia="zh-CN"/>
              </w:rPr>
              <w:t>安装培训</w:t>
            </w:r>
          </w:p>
        </w:tc>
        <w:tc>
          <w:tcPr>
            <w:tcW w:w="154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sz w:val="24"/>
                <w:szCs w:val="24"/>
                <w:lang w:val="en-US" w:eastAsia="zh-CN"/>
              </w:rPr>
              <w:t>/</w:t>
            </w:r>
          </w:p>
        </w:tc>
        <w:tc>
          <w:tcPr>
            <w:tcW w:w="72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w:t>
            </w:r>
          </w:p>
        </w:tc>
        <w:tc>
          <w:tcPr>
            <w:tcW w:w="75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批</w:t>
            </w:r>
          </w:p>
        </w:tc>
        <w:tc>
          <w:tcPr>
            <w:tcW w:w="1220" w:type="dxa"/>
            <w:vAlign w:val="center"/>
          </w:tcPr>
          <w:p>
            <w:pPr>
              <w:pStyle w:val="18"/>
              <w:jc w:val="center"/>
              <w:outlineLvl w:val="9"/>
              <w:rPr>
                <w:rFonts w:hint="default" w:ascii="新宋体" w:hAnsi="新宋体" w:eastAsia="新宋体" w:cs="新宋体"/>
                <w:b w:val="0"/>
                <w:bCs/>
                <w:sz w:val="24"/>
                <w:szCs w:val="24"/>
                <w:lang w:val="en-US" w:eastAsia="zh-CN"/>
              </w:rPr>
            </w:pPr>
          </w:p>
        </w:tc>
        <w:tc>
          <w:tcPr>
            <w:tcW w:w="2600" w:type="dxa"/>
            <w:vAlign w:val="center"/>
          </w:tcPr>
          <w:p>
            <w:pPr>
              <w:spacing w:line="480" w:lineRule="auto"/>
              <w:outlineLvl w:val="9"/>
              <w:rPr>
                <w:rFonts w:hint="eastAsia" w:ascii="新宋体" w:hAnsi="新宋体" w:eastAsia="新宋体" w:cs="新宋体"/>
                <w:b/>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50" w:type="dxa"/>
            <w:vMerge w:val="continue"/>
            <w:vAlign w:val="center"/>
          </w:tcPr>
          <w:p>
            <w:pPr>
              <w:pStyle w:val="18"/>
              <w:jc w:val="center"/>
              <w:outlineLvl w:val="9"/>
              <w:rPr>
                <w:rFonts w:hint="eastAsia" w:ascii="新宋体" w:hAnsi="新宋体" w:eastAsia="新宋体" w:cs="新宋体"/>
                <w:b/>
                <w:bCs w:val="0"/>
                <w:sz w:val="24"/>
                <w:szCs w:val="24"/>
                <w:lang w:val="en-US"/>
              </w:rPr>
            </w:pPr>
          </w:p>
        </w:tc>
        <w:tc>
          <w:tcPr>
            <w:tcW w:w="2390" w:type="dxa"/>
            <w:vAlign w:val="center"/>
          </w:tcPr>
          <w:p>
            <w:pPr>
              <w:pStyle w:val="18"/>
              <w:jc w:val="center"/>
              <w:outlineLvl w:val="9"/>
              <w:rPr>
                <w:rFonts w:hint="default" w:ascii="新宋体" w:hAnsi="新宋体" w:eastAsia="新宋体"/>
                <w:sz w:val="24"/>
                <w:szCs w:val="24"/>
                <w:lang w:val="en-US" w:eastAsia="zh-CN"/>
              </w:rPr>
            </w:pPr>
            <w:r>
              <w:rPr>
                <w:rFonts w:hint="eastAsia" w:ascii="新宋体" w:hAnsi="新宋体" w:eastAsia="新宋体"/>
                <w:sz w:val="24"/>
                <w:szCs w:val="24"/>
                <w:lang w:val="en-US" w:eastAsia="zh-CN"/>
              </w:rPr>
              <w:t>系统运维</w:t>
            </w:r>
          </w:p>
        </w:tc>
        <w:tc>
          <w:tcPr>
            <w:tcW w:w="1540" w:type="dxa"/>
            <w:vAlign w:val="center"/>
          </w:tcPr>
          <w:p>
            <w:pPr>
              <w:pStyle w:val="18"/>
              <w:jc w:val="center"/>
              <w:outlineLvl w:val="9"/>
              <w:rPr>
                <w:rFonts w:hint="eastAsia" w:ascii="新宋体" w:hAnsi="新宋体" w:eastAsia="新宋体" w:cs="新宋体"/>
                <w:b w:val="0"/>
                <w:bCs/>
                <w:sz w:val="24"/>
                <w:szCs w:val="24"/>
                <w:lang w:val="en-US" w:eastAsia="zh-CN"/>
              </w:rPr>
            </w:pPr>
            <w:r>
              <w:rPr>
                <w:rFonts w:hint="eastAsia" w:ascii="新宋体" w:hAnsi="新宋体" w:eastAsia="新宋体"/>
                <w:sz w:val="24"/>
                <w:szCs w:val="24"/>
                <w:lang w:val="en-US" w:eastAsia="zh-CN"/>
              </w:rPr>
              <w:t>/</w:t>
            </w:r>
          </w:p>
        </w:tc>
        <w:tc>
          <w:tcPr>
            <w:tcW w:w="72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w:t>
            </w:r>
            <w:bookmarkStart w:id="5" w:name="_GoBack"/>
            <w:bookmarkEnd w:id="5"/>
          </w:p>
        </w:tc>
        <w:tc>
          <w:tcPr>
            <w:tcW w:w="750" w:type="dxa"/>
            <w:vAlign w:val="center"/>
          </w:tcPr>
          <w:p>
            <w:pPr>
              <w:pStyle w:val="18"/>
              <w:jc w:val="center"/>
              <w:outlineLvl w:val="9"/>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年</w:t>
            </w:r>
          </w:p>
        </w:tc>
        <w:tc>
          <w:tcPr>
            <w:tcW w:w="1220" w:type="dxa"/>
            <w:vAlign w:val="center"/>
          </w:tcPr>
          <w:p>
            <w:pPr>
              <w:pStyle w:val="18"/>
              <w:jc w:val="center"/>
              <w:outlineLvl w:val="9"/>
              <w:rPr>
                <w:rFonts w:hint="default" w:ascii="新宋体" w:hAnsi="新宋体" w:eastAsia="新宋体" w:cs="新宋体"/>
                <w:b w:val="0"/>
                <w:bCs/>
                <w:sz w:val="24"/>
                <w:szCs w:val="24"/>
                <w:lang w:val="en-US" w:eastAsia="zh-CN"/>
              </w:rPr>
            </w:pPr>
          </w:p>
        </w:tc>
        <w:tc>
          <w:tcPr>
            <w:tcW w:w="2600" w:type="dxa"/>
            <w:vAlign w:val="center"/>
          </w:tcPr>
          <w:p>
            <w:pPr>
              <w:spacing w:line="240" w:lineRule="auto"/>
              <w:outlineLvl w:val="9"/>
              <w:rPr>
                <w:rFonts w:hint="default" w:ascii="新宋体" w:hAnsi="新宋体" w:eastAsia="新宋体" w:cs="新宋体"/>
                <w:b/>
                <w:sz w:val="24"/>
                <w:szCs w:val="24"/>
                <w:lang w:val="en-US" w:bidi="zh-CN"/>
              </w:rPr>
            </w:pPr>
            <w:r>
              <w:rPr>
                <w:rFonts w:hint="eastAsia" w:ascii="新宋体" w:hAnsi="新宋体" w:eastAsia="新宋体" w:cstheme="minorBidi"/>
                <w:kern w:val="2"/>
                <w:sz w:val="21"/>
                <w:szCs w:val="21"/>
                <w:lang w:val="en-US" w:eastAsia="zh-CN" w:bidi="ar-SA"/>
              </w:rPr>
              <w:t>2年后协商维护，不超过2000元每年。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vAlign w:val="center"/>
          </w:tcPr>
          <w:p>
            <w:pPr>
              <w:pStyle w:val="18"/>
              <w:jc w:val="center"/>
              <w:outlineLvl w:val="9"/>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合计</w:t>
            </w:r>
          </w:p>
        </w:tc>
        <w:tc>
          <w:tcPr>
            <w:tcW w:w="2390" w:type="dxa"/>
            <w:vAlign w:val="center"/>
          </w:tcPr>
          <w:p>
            <w:pPr>
              <w:pStyle w:val="18"/>
              <w:jc w:val="center"/>
              <w:outlineLvl w:val="9"/>
              <w:rPr>
                <w:rFonts w:hint="eastAsia" w:ascii="新宋体" w:hAnsi="新宋体" w:eastAsia="新宋体"/>
                <w:sz w:val="24"/>
                <w:szCs w:val="24"/>
              </w:rPr>
            </w:pPr>
          </w:p>
        </w:tc>
        <w:tc>
          <w:tcPr>
            <w:tcW w:w="1540" w:type="dxa"/>
            <w:vAlign w:val="center"/>
          </w:tcPr>
          <w:p>
            <w:pPr>
              <w:pStyle w:val="18"/>
              <w:jc w:val="center"/>
              <w:outlineLvl w:val="9"/>
              <w:rPr>
                <w:rFonts w:hint="eastAsia" w:ascii="新宋体" w:hAnsi="新宋体" w:eastAsia="新宋体" w:cs="新宋体"/>
                <w:b w:val="0"/>
                <w:bCs/>
                <w:sz w:val="24"/>
                <w:szCs w:val="24"/>
                <w:lang w:val="en-US" w:eastAsia="zh-CN"/>
              </w:rPr>
            </w:pPr>
          </w:p>
        </w:tc>
        <w:tc>
          <w:tcPr>
            <w:tcW w:w="720" w:type="dxa"/>
            <w:vAlign w:val="center"/>
          </w:tcPr>
          <w:p>
            <w:pPr>
              <w:pStyle w:val="18"/>
              <w:jc w:val="center"/>
              <w:outlineLvl w:val="9"/>
              <w:rPr>
                <w:rFonts w:hint="eastAsia" w:ascii="新宋体" w:hAnsi="新宋体" w:eastAsia="新宋体" w:cs="新宋体"/>
                <w:b w:val="0"/>
                <w:bCs/>
                <w:sz w:val="24"/>
                <w:szCs w:val="24"/>
                <w:lang w:val="en-US" w:eastAsia="zh-CN"/>
              </w:rPr>
            </w:pPr>
          </w:p>
        </w:tc>
        <w:tc>
          <w:tcPr>
            <w:tcW w:w="750" w:type="dxa"/>
            <w:vAlign w:val="center"/>
          </w:tcPr>
          <w:p>
            <w:pPr>
              <w:pStyle w:val="18"/>
              <w:jc w:val="center"/>
              <w:outlineLvl w:val="9"/>
              <w:rPr>
                <w:rFonts w:hint="eastAsia" w:ascii="新宋体" w:hAnsi="新宋体" w:eastAsia="新宋体" w:cs="新宋体"/>
                <w:b w:val="0"/>
                <w:bCs/>
                <w:sz w:val="24"/>
                <w:szCs w:val="24"/>
                <w:lang w:val="en-US" w:eastAsia="zh-CN"/>
              </w:rPr>
            </w:pPr>
          </w:p>
        </w:tc>
        <w:tc>
          <w:tcPr>
            <w:tcW w:w="1220" w:type="dxa"/>
            <w:vAlign w:val="center"/>
          </w:tcPr>
          <w:p>
            <w:pPr>
              <w:pStyle w:val="18"/>
              <w:jc w:val="center"/>
              <w:outlineLvl w:val="9"/>
              <w:rPr>
                <w:rFonts w:hint="default" w:ascii="新宋体" w:hAnsi="新宋体" w:eastAsia="新宋体" w:cs="新宋体"/>
                <w:b w:val="0"/>
                <w:bCs/>
                <w:sz w:val="24"/>
                <w:szCs w:val="24"/>
                <w:lang w:val="en-US" w:eastAsia="zh-CN"/>
              </w:rPr>
            </w:pPr>
          </w:p>
        </w:tc>
        <w:tc>
          <w:tcPr>
            <w:tcW w:w="2600" w:type="dxa"/>
            <w:vAlign w:val="center"/>
          </w:tcPr>
          <w:p>
            <w:pPr>
              <w:spacing w:line="480" w:lineRule="auto"/>
              <w:outlineLvl w:val="9"/>
              <w:rPr>
                <w:rFonts w:hint="eastAsia" w:ascii="新宋体" w:hAnsi="新宋体" w:eastAsia="新宋体" w:cs="新宋体"/>
                <w:b/>
                <w:sz w:val="24"/>
                <w:szCs w:val="24"/>
                <w:lang w:bidi="zh-CN"/>
              </w:rPr>
            </w:pPr>
          </w:p>
        </w:tc>
      </w:tr>
    </w:tbl>
    <w:p>
      <w:pPr>
        <w:spacing w:line="360" w:lineRule="auto"/>
        <w:ind w:firstLine="600" w:firstLineChars="200"/>
        <w:rPr>
          <w:rFonts w:hint="default" w:ascii="宋体" w:hAnsi="宋体" w:cs="宋体"/>
          <w:b/>
          <w:bCs w:val="0"/>
          <w:color w:val="000000"/>
          <w:sz w:val="32"/>
          <w:szCs w:val="32"/>
          <w:lang w:val="en-US" w:eastAsia="zh-CN"/>
        </w:rPr>
      </w:pPr>
      <w:r>
        <w:rPr>
          <w:rFonts w:hint="eastAsia" w:ascii="仿宋" w:hAnsi="仿宋" w:eastAsia="仿宋" w:cs="仿宋"/>
          <w:b w:val="0"/>
          <w:bCs w:val="0"/>
          <w:sz w:val="30"/>
          <w:szCs w:val="30"/>
          <w:lang w:val="en-US" w:eastAsia="zh-CN"/>
        </w:rPr>
        <w:t>备注：报价均为含税报价，提供增值税普通发票或专用发票，硬件设备（</w:t>
      </w:r>
      <w:r>
        <w:rPr>
          <w:rFonts w:hint="eastAsia" w:ascii="仿宋" w:hAnsi="仿宋" w:eastAsia="仿宋" w:cs="仿宋"/>
          <w:b w:val="0"/>
          <w:bCs/>
          <w:sz w:val="30"/>
          <w:szCs w:val="30"/>
          <w:lang w:val="en-US" w:eastAsia="zh-CN"/>
        </w:rPr>
        <w:t>终端机</w:t>
      </w:r>
      <w:r>
        <w:rPr>
          <w:rFonts w:hint="eastAsia" w:ascii="仿宋" w:hAnsi="仿宋" w:eastAsia="仿宋" w:cs="仿宋"/>
          <w:kern w:val="2"/>
          <w:sz w:val="30"/>
          <w:szCs w:val="30"/>
          <w:lang w:val="en-US" w:eastAsia="zh-CN"/>
        </w:rPr>
        <w:t>、</w:t>
      </w:r>
      <w:r>
        <w:rPr>
          <w:rFonts w:hint="eastAsia" w:ascii="仿宋" w:hAnsi="仿宋" w:eastAsia="仿宋" w:cs="仿宋"/>
          <w:b w:val="0"/>
          <w:bCs/>
          <w:sz w:val="30"/>
          <w:szCs w:val="30"/>
          <w:lang w:val="en-US"/>
        </w:rPr>
        <w:t>打印机</w:t>
      </w:r>
      <w:r>
        <w:rPr>
          <w:rFonts w:hint="eastAsia" w:ascii="仿宋" w:hAnsi="仿宋" w:eastAsia="仿宋" w:cs="仿宋"/>
          <w:kern w:val="2"/>
          <w:sz w:val="30"/>
          <w:szCs w:val="30"/>
          <w:lang w:val="en-US" w:eastAsia="zh-CN"/>
        </w:rPr>
        <w:t>、摄像头/机、条码</w:t>
      </w:r>
      <w:r>
        <w:rPr>
          <w:rFonts w:hint="eastAsia" w:ascii="仿宋" w:hAnsi="仿宋" w:eastAsia="仿宋" w:cs="仿宋"/>
          <w:b w:val="0"/>
          <w:bCs/>
          <w:sz w:val="30"/>
          <w:szCs w:val="30"/>
          <w:lang w:val="en-US"/>
        </w:rPr>
        <w:t>标签</w:t>
      </w:r>
      <w:r>
        <w:rPr>
          <w:rFonts w:hint="eastAsia" w:ascii="仿宋" w:hAnsi="仿宋" w:eastAsia="仿宋" w:cs="仿宋"/>
          <w:kern w:val="2"/>
          <w:sz w:val="30"/>
          <w:szCs w:val="30"/>
          <w:lang w:val="en-US" w:eastAsia="zh-CN"/>
        </w:rPr>
        <w:t>、</w:t>
      </w:r>
      <w:r>
        <w:rPr>
          <w:rFonts w:hint="eastAsia" w:ascii="仿宋" w:hAnsi="仿宋" w:eastAsia="仿宋" w:cs="仿宋"/>
          <w:b w:val="0"/>
          <w:bCs/>
          <w:sz w:val="30"/>
          <w:szCs w:val="30"/>
          <w:lang w:val="en-US" w:eastAsia="zh-CN"/>
        </w:rPr>
        <w:t>平台</w:t>
      </w:r>
      <w:r>
        <w:rPr>
          <w:rFonts w:hint="eastAsia" w:ascii="仿宋" w:hAnsi="仿宋" w:eastAsia="仿宋" w:cs="仿宋"/>
          <w:b w:val="0"/>
          <w:bCs/>
          <w:sz w:val="30"/>
          <w:szCs w:val="30"/>
          <w:lang w:val="en-US"/>
        </w:rPr>
        <w:t>秤</w:t>
      </w:r>
      <w:r>
        <w:rPr>
          <w:rFonts w:hint="eastAsia" w:ascii="仿宋" w:hAnsi="仿宋" w:eastAsia="仿宋" w:cs="仿宋"/>
          <w:b w:val="0"/>
          <w:bCs/>
          <w:sz w:val="30"/>
          <w:szCs w:val="30"/>
          <w:lang w:val="en-US" w:eastAsia="zh-CN"/>
        </w:rPr>
        <w:t>等税率13%，软件系统</w:t>
      </w:r>
      <w:r>
        <w:rPr>
          <w:rFonts w:hint="eastAsia" w:ascii="仿宋" w:hAnsi="仿宋" w:eastAsia="仿宋" w:cs="仿宋"/>
          <w:kern w:val="2"/>
          <w:sz w:val="30"/>
          <w:szCs w:val="30"/>
          <w:lang w:val="en-US" w:eastAsia="zh-CN"/>
        </w:rPr>
        <w:t>、</w:t>
      </w:r>
      <w:r>
        <w:rPr>
          <w:rFonts w:hint="eastAsia" w:ascii="仿宋" w:hAnsi="仿宋" w:eastAsia="仿宋" w:cs="仿宋"/>
          <w:b w:val="0"/>
          <w:bCs/>
          <w:sz w:val="30"/>
          <w:szCs w:val="30"/>
          <w:lang w:val="en-US" w:eastAsia="zh-CN"/>
        </w:rPr>
        <w:t>维保费税率6%）。</w:t>
      </w:r>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8797D"/>
    <w:multiLevelType w:val="singleLevel"/>
    <w:tmpl w:val="C078797D"/>
    <w:lvl w:ilvl="0" w:tentative="0">
      <w:start w:val="1"/>
      <w:numFmt w:val="decimal"/>
      <w:lvlText w:val="%1."/>
      <w:lvlJc w:val="left"/>
      <w:pPr>
        <w:tabs>
          <w:tab w:val="left" w:pos="312"/>
        </w:tabs>
      </w:pPr>
    </w:lvl>
  </w:abstractNum>
  <w:abstractNum w:abstractNumId="1">
    <w:nsid w:val="C7D203F9"/>
    <w:multiLevelType w:val="singleLevel"/>
    <w:tmpl w:val="C7D203F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zFhNzZhZjA0YTk4NGQ4MGQxMzM1MGRmN2JjMGEifQ=="/>
  </w:docVars>
  <w:rsids>
    <w:rsidRoot w:val="1D8D798E"/>
    <w:rsid w:val="001F75B3"/>
    <w:rsid w:val="00255668"/>
    <w:rsid w:val="00305A08"/>
    <w:rsid w:val="00500B2A"/>
    <w:rsid w:val="005E7A3D"/>
    <w:rsid w:val="00A615C9"/>
    <w:rsid w:val="00BA2960"/>
    <w:rsid w:val="00E676E9"/>
    <w:rsid w:val="04A14117"/>
    <w:rsid w:val="06BF633A"/>
    <w:rsid w:val="072F7435"/>
    <w:rsid w:val="073758A0"/>
    <w:rsid w:val="075D7690"/>
    <w:rsid w:val="09F4753B"/>
    <w:rsid w:val="0D1A49CD"/>
    <w:rsid w:val="11F27F47"/>
    <w:rsid w:val="13767998"/>
    <w:rsid w:val="15A45382"/>
    <w:rsid w:val="16737D6A"/>
    <w:rsid w:val="1D8D798E"/>
    <w:rsid w:val="1F961880"/>
    <w:rsid w:val="20650C09"/>
    <w:rsid w:val="2177501E"/>
    <w:rsid w:val="24BA36E5"/>
    <w:rsid w:val="24C87DC8"/>
    <w:rsid w:val="263A12EF"/>
    <w:rsid w:val="27656CE9"/>
    <w:rsid w:val="29B00588"/>
    <w:rsid w:val="2CBA20F7"/>
    <w:rsid w:val="2FB830B0"/>
    <w:rsid w:val="324E4B17"/>
    <w:rsid w:val="348628EF"/>
    <w:rsid w:val="387556E9"/>
    <w:rsid w:val="3D673C61"/>
    <w:rsid w:val="405335A4"/>
    <w:rsid w:val="42AE76E8"/>
    <w:rsid w:val="43B6362D"/>
    <w:rsid w:val="44DE08C2"/>
    <w:rsid w:val="459134FC"/>
    <w:rsid w:val="478F5C4C"/>
    <w:rsid w:val="4D2463FC"/>
    <w:rsid w:val="50946C06"/>
    <w:rsid w:val="51885392"/>
    <w:rsid w:val="52112CA7"/>
    <w:rsid w:val="5222608F"/>
    <w:rsid w:val="522E3444"/>
    <w:rsid w:val="531B73F9"/>
    <w:rsid w:val="54DF6509"/>
    <w:rsid w:val="56A90485"/>
    <w:rsid w:val="575764D7"/>
    <w:rsid w:val="58911379"/>
    <w:rsid w:val="5BB97803"/>
    <w:rsid w:val="5DA96B3E"/>
    <w:rsid w:val="5E0C4EAC"/>
    <w:rsid w:val="5E4C0518"/>
    <w:rsid w:val="5F69078D"/>
    <w:rsid w:val="5FB60C47"/>
    <w:rsid w:val="605205C7"/>
    <w:rsid w:val="610800F9"/>
    <w:rsid w:val="61661FF5"/>
    <w:rsid w:val="63055E14"/>
    <w:rsid w:val="66243F14"/>
    <w:rsid w:val="6A7F011B"/>
    <w:rsid w:val="6B003B41"/>
    <w:rsid w:val="6CC91259"/>
    <w:rsid w:val="6F4D7F53"/>
    <w:rsid w:val="6FBC2194"/>
    <w:rsid w:val="70257B0C"/>
    <w:rsid w:val="70B44EF2"/>
    <w:rsid w:val="71631138"/>
    <w:rsid w:val="71796EC1"/>
    <w:rsid w:val="72816189"/>
    <w:rsid w:val="73C315A0"/>
    <w:rsid w:val="74653264"/>
    <w:rsid w:val="757D35BB"/>
    <w:rsid w:val="75B90985"/>
    <w:rsid w:val="7A6B7C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12"/>
    <w:qFormat/>
    <w:uiPriority w:val="99"/>
    <w:pPr>
      <w:keepNext/>
      <w:keepLines/>
      <w:spacing w:line="413" w:lineRule="auto"/>
      <w:outlineLvl w:val="1"/>
    </w:pPr>
    <w:rPr>
      <w:rFonts w:ascii="Arial" w:hAnsi="Arial" w:eastAsia="黑体"/>
      <w:b/>
      <w:bCs/>
      <w:sz w:val="32"/>
      <w:szCs w:val="32"/>
    </w:rPr>
  </w:style>
  <w:style w:type="paragraph" w:styleId="5">
    <w:name w:val="heading 3"/>
    <w:basedOn w:val="1"/>
    <w:next w:val="1"/>
    <w:qFormat/>
    <w:locked/>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6">
    <w:name w:val="Normal Indent"/>
    <w:basedOn w:val="1"/>
    <w:qFormat/>
    <w:uiPriority w:val="99"/>
    <w:pPr>
      <w:ind w:firstLine="420" w:firstLineChars="200"/>
    </w:pPr>
  </w:style>
  <w:style w:type="paragraph" w:styleId="7">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jc w:val="both"/>
      <w:textAlignment w:val="baseline"/>
    </w:pPr>
    <w:rPr>
      <w:rFonts w:ascii="Calibri" w:hAnsi="Calibri" w:eastAsia="宋体"/>
      <w:kern w:val="2"/>
      <w:sz w:val="24"/>
      <w:szCs w:val="24"/>
      <w:lang w:val="en-US" w:eastAsia="zh-CN" w:bidi="ar-SA"/>
    </w:rPr>
  </w:style>
  <w:style w:type="character" w:customStyle="1" w:styleId="12">
    <w:name w:val="Heading 2 Char"/>
    <w:basedOn w:val="10"/>
    <w:link w:val="4"/>
    <w:semiHidden/>
    <w:qFormat/>
    <w:uiPriority w:val="9"/>
    <w:rPr>
      <w:rFonts w:asciiTheme="majorHAnsi" w:hAnsiTheme="majorHAnsi" w:eastAsiaTheme="majorEastAsia" w:cstheme="majorBidi"/>
      <w:b/>
      <w:bCs/>
      <w:sz w:val="32"/>
      <w:szCs w:val="32"/>
    </w:rPr>
  </w:style>
  <w:style w:type="character" w:customStyle="1" w:styleId="13">
    <w:name w:val="Body Text Char"/>
    <w:basedOn w:val="10"/>
    <w:link w:val="2"/>
    <w:semiHidden/>
    <w:qFormat/>
    <w:uiPriority w:val="99"/>
    <w:rPr>
      <w:rFonts w:ascii="Calibri" w:hAnsi="Calibri"/>
      <w:szCs w:val="24"/>
    </w:rPr>
  </w:style>
  <w:style w:type="paragraph" w:customStyle="1" w:styleId="14">
    <w:name w:val="首行缩进"/>
    <w:basedOn w:val="1"/>
    <w:qFormat/>
    <w:uiPriority w:val="99"/>
    <w:pPr>
      <w:spacing w:line="360" w:lineRule="auto"/>
      <w:ind w:firstLine="480" w:firstLineChars="200"/>
      <w:jc w:val="left"/>
    </w:pPr>
    <w:rPr>
      <w:rFonts w:ascii="宋体" w:hAnsi="宋体"/>
      <w:sz w:val="24"/>
    </w:rPr>
  </w:style>
  <w:style w:type="paragraph" w:customStyle="1" w:styleId="15">
    <w:name w:val="_正文段落"/>
    <w:basedOn w:val="1"/>
    <w:qFormat/>
    <w:uiPriority w:val="99"/>
    <w:pPr>
      <w:spacing w:beforeLines="15" w:afterLines="15" w:line="360" w:lineRule="auto"/>
      <w:ind w:firstLine="200" w:firstLineChars="200"/>
    </w:pPr>
    <w:rPr>
      <w:rFonts w:ascii="宋体" w:eastAsia="仿宋_GB2312"/>
      <w:kern w:val="0"/>
      <w:sz w:val="28"/>
    </w:rPr>
  </w:style>
  <w:style w:type="paragraph" w:customStyle="1" w:styleId="16">
    <w:name w:val="List Paragraph1"/>
    <w:basedOn w:val="1"/>
    <w:qFormat/>
    <w:uiPriority w:val="99"/>
    <w:pPr>
      <w:ind w:firstLine="420" w:firstLineChars="200"/>
    </w:pPr>
    <w:rPr>
      <w:rFonts w:ascii="Times New Roman" w:hAnsi="Times New Roman"/>
      <w:szCs w:val="21"/>
    </w:rPr>
  </w:style>
  <w:style w:type="character" w:customStyle="1" w:styleId="17">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18">
    <w:name w:val="Table Paragraph"/>
    <w:basedOn w:val="1"/>
    <w:qFormat/>
    <w:uiPriority w:val="1"/>
    <w:rPr>
      <w:rFonts w:ascii="仿宋" w:hAnsi="仿宋" w:eastAsia="仿宋" w:cs="仿宋"/>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524</Words>
  <Characters>2988</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2019-08-10T03:34:00Z</dcterms:created>
  <dc:creator>Administrator</dc:creator>
  <cp:lastModifiedBy>胡涛</cp:lastModifiedBy>
  <cp:lastPrinted>2023-07-09T11:10:00Z</cp:lastPrinted>
  <dcterms:modified xsi:type="dcterms:W3CDTF">2023-10-30T00:10:23Z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8176F953DFA345619F606818E04EB308_13</vt:lpwstr>
  </property>
</Properties>
</file>